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E72A3" w14:textId="14B8BD86" w:rsidR="00953E8B" w:rsidRDefault="00953E8B" w:rsidP="00232898">
      <w:pPr>
        <w:spacing w:line="300" w:lineRule="atLeast"/>
        <w:textAlignment w:val="baseline"/>
        <w:rPr>
          <w:b/>
          <w:bCs/>
          <w:sz w:val="28"/>
          <w:szCs w:val="28"/>
        </w:rPr>
      </w:pPr>
    </w:p>
    <w:p w14:paraId="3AEF1D98" w14:textId="21ECB67E" w:rsidR="00953E8B" w:rsidRDefault="00953E8B" w:rsidP="00232898">
      <w:pPr>
        <w:spacing w:line="300" w:lineRule="atLeast"/>
        <w:textAlignment w:val="baseline"/>
        <w:rPr>
          <w:b/>
          <w:bCs/>
          <w:sz w:val="28"/>
          <w:szCs w:val="28"/>
        </w:rPr>
      </w:pPr>
    </w:p>
    <w:p w14:paraId="626D951A" w14:textId="77777777" w:rsidR="00284673" w:rsidRPr="00284673" w:rsidRDefault="00284673" w:rsidP="00284673">
      <w:pPr>
        <w:jc w:val="center"/>
        <w:rPr>
          <w:b/>
          <w:bCs/>
          <w:sz w:val="28"/>
          <w:szCs w:val="28"/>
          <w:lang w:val="pt-BR"/>
        </w:rPr>
      </w:pPr>
      <w:r w:rsidRPr="00284673">
        <w:rPr>
          <w:b/>
          <w:bCs/>
          <w:sz w:val="28"/>
          <w:szCs w:val="28"/>
          <w:lang w:val="pt-BR"/>
        </w:rPr>
        <w:t xml:space="preserve">Coalizão COVID-19 Brasil apresenta resultado de estudo com medicamentos contra o novo </w:t>
      </w:r>
      <w:proofErr w:type="spellStart"/>
      <w:r w:rsidRPr="00284673">
        <w:rPr>
          <w:b/>
          <w:bCs/>
          <w:sz w:val="28"/>
          <w:szCs w:val="28"/>
          <w:lang w:val="pt-BR"/>
        </w:rPr>
        <w:t>coronavírus</w:t>
      </w:r>
      <w:proofErr w:type="spellEnd"/>
    </w:p>
    <w:p w14:paraId="20FDFFE8" w14:textId="77777777" w:rsidR="00284673" w:rsidRPr="00284673" w:rsidRDefault="00284673" w:rsidP="00284673">
      <w:pPr>
        <w:jc w:val="center"/>
        <w:rPr>
          <w:rFonts w:cstheme="minorHAnsi"/>
          <w:b/>
          <w:bCs/>
          <w:sz w:val="28"/>
          <w:szCs w:val="28"/>
          <w:lang w:val="pt-BR"/>
        </w:rPr>
      </w:pPr>
    </w:p>
    <w:p w14:paraId="4B4F2B9E" w14:textId="596701EB" w:rsidR="00284673" w:rsidRPr="00284673" w:rsidRDefault="00284673" w:rsidP="00284673">
      <w:pPr>
        <w:jc w:val="center"/>
        <w:rPr>
          <w:rFonts w:cstheme="minorHAnsi"/>
          <w:i/>
          <w:iCs/>
          <w:lang w:val="pt-BR"/>
        </w:rPr>
      </w:pPr>
      <w:r w:rsidRPr="00284673">
        <w:rPr>
          <w:rFonts w:cstheme="minorHAnsi"/>
          <w:i/>
          <w:iCs/>
          <w:lang w:val="pt-BR"/>
        </w:rPr>
        <w:t xml:space="preserve">Pesquisa feita por grupo de hospitais, rede e instituto de pesquisas brasileiros verificou que o uso de </w:t>
      </w:r>
      <w:proofErr w:type="spellStart"/>
      <w:r w:rsidRPr="00284673">
        <w:rPr>
          <w:rFonts w:cstheme="minorHAnsi"/>
          <w:i/>
          <w:iCs/>
          <w:lang w:val="pt-BR"/>
        </w:rPr>
        <w:t>hidroxicloquina</w:t>
      </w:r>
      <w:proofErr w:type="spellEnd"/>
      <w:r>
        <w:rPr>
          <w:rFonts w:cstheme="minorHAnsi"/>
          <w:i/>
          <w:iCs/>
          <w:lang w:val="pt-BR"/>
        </w:rPr>
        <w:t>,</w:t>
      </w:r>
      <w:r w:rsidRPr="00284673">
        <w:rPr>
          <w:rFonts w:cstheme="minorHAnsi"/>
          <w:i/>
          <w:iCs/>
          <w:lang w:val="pt-BR"/>
        </w:rPr>
        <w:t xml:space="preserve"> sozinha ou associada com azitromicina</w:t>
      </w:r>
      <w:r>
        <w:rPr>
          <w:rFonts w:cstheme="minorHAnsi"/>
          <w:i/>
          <w:iCs/>
          <w:lang w:val="pt-BR"/>
        </w:rPr>
        <w:t>,</w:t>
      </w:r>
      <w:r w:rsidRPr="00284673">
        <w:rPr>
          <w:rFonts w:cstheme="minorHAnsi"/>
          <w:i/>
          <w:iCs/>
          <w:lang w:val="pt-BR"/>
        </w:rPr>
        <w:t xml:space="preserve"> não mostrou efeito favorável na evolução clínica de pacientes adultos hospitalizados com formas leves ou moderadas de Covid-19 </w:t>
      </w:r>
    </w:p>
    <w:p w14:paraId="3749190D" w14:textId="77777777" w:rsidR="00284673" w:rsidRPr="00284673" w:rsidRDefault="00284673" w:rsidP="00284673">
      <w:pPr>
        <w:jc w:val="center"/>
        <w:rPr>
          <w:rFonts w:cstheme="minorHAnsi"/>
          <w:i/>
          <w:iCs/>
          <w:lang w:val="pt-BR"/>
        </w:rPr>
      </w:pPr>
    </w:p>
    <w:p w14:paraId="0A52DA99" w14:textId="77777777" w:rsidR="00284673" w:rsidRPr="00284673" w:rsidRDefault="00284673" w:rsidP="00284673">
      <w:pPr>
        <w:rPr>
          <w:rFonts w:cstheme="minorHAnsi"/>
          <w:lang w:val="pt-BR"/>
        </w:rPr>
      </w:pPr>
      <w:r w:rsidRPr="00284673">
        <w:rPr>
          <w:rFonts w:cstheme="minorHAnsi"/>
          <w:lang w:val="pt-BR"/>
        </w:rPr>
        <w:t>​</w:t>
      </w:r>
    </w:p>
    <w:p w14:paraId="2798CF03" w14:textId="77777777" w:rsidR="00284673" w:rsidRPr="00284673" w:rsidRDefault="00284673" w:rsidP="00284673">
      <w:pPr>
        <w:jc w:val="both"/>
        <w:rPr>
          <w:rFonts w:cstheme="minorHAnsi"/>
          <w:color w:val="000000" w:themeColor="text1"/>
          <w:lang w:val="pt-BR"/>
        </w:rPr>
      </w:pPr>
      <w:r w:rsidRPr="00284673">
        <w:rPr>
          <w:rFonts w:cstheme="minorHAnsi"/>
          <w:lang w:val="pt-BR"/>
        </w:rPr>
        <w:t xml:space="preserve">Uma aliança para condução de pesquisas formada por Hospital Israelita Albert Einstein, </w:t>
      </w:r>
      <w:proofErr w:type="spellStart"/>
      <w:r w:rsidRPr="00284673">
        <w:rPr>
          <w:rFonts w:cstheme="minorHAnsi"/>
          <w:lang w:val="pt-BR"/>
        </w:rPr>
        <w:t>HCor</w:t>
      </w:r>
      <w:proofErr w:type="spellEnd"/>
      <w:r w:rsidRPr="00284673">
        <w:rPr>
          <w:rFonts w:cstheme="minorHAnsi"/>
          <w:lang w:val="pt-BR"/>
        </w:rPr>
        <w:t xml:space="preserve">, Hospital Sírio-Libanês, Hospital Moinhos de Vento, Hospital Alemão Oswaldo Cruz, BP – A Beneficência Portuguesa de São Paulo, o </w:t>
      </w:r>
      <w:proofErr w:type="spellStart"/>
      <w:r w:rsidRPr="00C13E13">
        <w:rPr>
          <w:rFonts w:cstheme="minorHAnsi"/>
          <w:i/>
          <w:iCs/>
          <w:lang w:val="pt-BR"/>
        </w:rPr>
        <w:t>Brazilian</w:t>
      </w:r>
      <w:proofErr w:type="spellEnd"/>
      <w:r w:rsidRPr="00C13E13">
        <w:rPr>
          <w:rFonts w:cstheme="minorHAnsi"/>
          <w:i/>
          <w:iCs/>
          <w:lang w:val="pt-BR"/>
        </w:rPr>
        <w:t xml:space="preserve"> </w:t>
      </w:r>
      <w:proofErr w:type="spellStart"/>
      <w:r w:rsidRPr="00C13E13">
        <w:rPr>
          <w:rFonts w:cstheme="minorHAnsi"/>
          <w:i/>
          <w:iCs/>
          <w:lang w:val="pt-BR"/>
        </w:rPr>
        <w:t>Clinical</w:t>
      </w:r>
      <w:proofErr w:type="spellEnd"/>
      <w:r w:rsidRPr="00C13E13">
        <w:rPr>
          <w:rFonts w:cstheme="minorHAnsi"/>
          <w:i/>
          <w:iCs/>
          <w:lang w:val="pt-BR"/>
        </w:rPr>
        <w:t xml:space="preserve"> </w:t>
      </w:r>
      <w:proofErr w:type="spellStart"/>
      <w:r w:rsidRPr="00C13E13">
        <w:rPr>
          <w:rFonts w:cstheme="minorHAnsi"/>
          <w:i/>
          <w:iCs/>
          <w:lang w:val="pt-BR"/>
        </w:rPr>
        <w:t>Research</w:t>
      </w:r>
      <w:proofErr w:type="spellEnd"/>
      <w:r w:rsidRPr="00C13E13">
        <w:rPr>
          <w:rFonts w:cstheme="minorHAnsi"/>
          <w:i/>
          <w:iCs/>
          <w:lang w:val="pt-BR"/>
        </w:rPr>
        <w:t xml:space="preserve"> </w:t>
      </w:r>
      <w:proofErr w:type="spellStart"/>
      <w:r w:rsidRPr="00C13E13">
        <w:rPr>
          <w:rFonts w:cstheme="minorHAnsi"/>
          <w:i/>
          <w:iCs/>
          <w:lang w:val="pt-BR"/>
        </w:rPr>
        <w:t>Institute</w:t>
      </w:r>
      <w:proofErr w:type="spellEnd"/>
      <w:r w:rsidRPr="00284673">
        <w:rPr>
          <w:rFonts w:cstheme="minorHAnsi"/>
          <w:lang w:val="pt-BR"/>
        </w:rPr>
        <w:t xml:space="preserve"> (BCRI) e Rede Brasileira de Pesquisa em Terapia Intensiva (</w:t>
      </w:r>
      <w:proofErr w:type="spellStart"/>
      <w:r w:rsidRPr="00284673">
        <w:rPr>
          <w:rFonts w:cstheme="minorHAnsi"/>
          <w:lang w:val="pt-BR"/>
        </w:rPr>
        <w:t>BRICNet</w:t>
      </w:r>
      <w:proofErr w:type="spellEnd"/>
      <w:r w:rsidRPr="00284673">
        <w:rPr>
          <w:rFonts w:cstheme="minorHAnsi"/>
          <w:lang w:val="pt-BR"/>
        </w:rPr>
        <w:t xml:space="preserve">), avalia a eficácia e a segurança de potenciais terapias para pacientes com Covid-19. </w:t>
      </w:r>
      <w:r w:rsidRPr="00284673">
        <w:rPr>
          <w:rFonts w:cstheme="minorHAnsi"/>
          <w:color w:val="000000" w:themeColor="text1"/>
          <w:lang w:val="pt-BR"/>
        </w:rPr>
        <w:t xml:space="preserve">Denominada </w:t>
      </w:r>
      <w:r w:rsidRPr="00284673">
        <w:rPr>
          <w:rFonts w:cstheme="minorHAnsi"/>
          <w:i/>
          <w:iCs/>
          <w:color w:val="000000" w:themeColor="text1"/>
          <w:lang w:val="pt-BR"/>
        </w:rPr>
        <w:t>Coalizão COVID-19 Brasil</w:t>
      </w:r>
      <w:r w:rsidRPr="00284673">
        <w:rPr>
          <w:rFonts w:cstheme="minorHAnsi"/>
          <w:color w:val="000000" w:themeColor="text1"/>
          <w:lang w:val="pt-BR"/>
        </w:rPr>
        <w:t xml:space="preserve">, a iniciativa conduz nove estudos voltados a diferentes populações de pacientes infectados pelo novo </w:t>
      </w:r>
      <w:proofErr w:type="spellStart"/>
      <w:r w:rsidRPr="00284673">
        <w:rPr>
          <w:rFonts w:cstheme="minorHAnsi"/>
          <w:color w:val="000000" w:themeColor="text1"/>
          <w:lang w:val="pt-BR"/>
        </w:rPr>
        <w:t>coronavírus</w:t>
      </w:r>
      <w:proofErr w:type="spellEnd"/>
      <w:r w:rsidRPr="00284673">
        <w:rPr>
          <w:rFonts w:cstheme="minorHAnsi"/>
          <w:color w:val="000000" w:themeColor="text1"/>
          <w:lang w:val="pt-BR"/>
        </w:rPr>
        <w:t>. </w:t>
      </w:r>
    </w:p>
    <w:p w14:paraId="2C4A7F1B" w14:textId="77777777" w:rsidR="00284673" w:rsidRPr="00284673" w:rsidRDefault="00284673" w:rsidP="00284673">
      <w:pPr>
        <w:jc w:val="both"/>
        <w:rPr>
          <w:rFonts w:cstheme="minorHAnsi"/>
          <w:lang w:val="pt-BR"/>
        </w:rPr>
      </w:pPr>
    </w:p>
    <w:p w14:paraId="40FB008E" w14:textId="7683BCF6" w:rsidR="00284673" w:rsidRPr="00284673" w:rsidRDefault="00284673" w:rsidP="00284673">
      <w:pPr>
        <w:jc w:val="both"/>
        <w:rPr>
          <w:rFonts w:cstheme="minorHAnsi"/>
          <w:lang w:val="pt-BR"/>
        </w:rPr>
      </w:pPr>
      <w:r w:rsidRPr="00284673">
        <w:rPr>
          <w:rFonts w:cstheme="minorHAnsi"/>
          <w:lang w:val="pt-BR"/>
        </w:rPr>
        <w:t xml:space="preserve">A primeira pesquisa, nomeada Coalizão I, avaliou se a </w:t>
      </w:r>
      <w:proofErr w:type="spellStart"/>
      <w:r w:rsidRPr="00284673">
        <w:rPr>
          <w:rFonts w:cstheme="minorHAnsi"/>
          <w:lang w:val="pt-BR"/>
        </w:rPr>
        <w:t>hidroxicloroquina</w:t>
      </w:r>
      <w:proofErr w:type="spellEnd"/>
      <w:r w:rsidRPr="00284673">
        <w:rPr>
          <w:rFonts w:cstheme="minorHAnsi"/>
          <w:lang w:val="pt-BR"/>
        </w:rPr>
        <w:t xml:space="preserve"> associada ou não à azitromicina, poderia trazer benefícios a pacientes adultos hospitalizados com formas leves a moderadas de COVID-19. Os resultados do estudo serão publicados no periódico científico </w:t>
      </w:r>
      <w:r w:rsidRPr="00284673">
        <w:rPr>
          <w:rFonts w:cstheme="minorHAnsi"/>
          <w:i/>
          <w:iCs/>
          <w:lang w:val="pt-BR"/>
        </w:rPr>
        <w:t xml:space="preserve">New </w:t>
      </w:r>
      <w:proofErr w:type="spellStart"/>
      <w:r w:rsidRPr="00284673">
        <w:rPr>
          <w:rFonts w:cstheme="minorHAnsi"/>
          <w:i/>
          <w:iCs/>
          <w:lang w:val="pt-BR"/>
        </w:rPr>
        <w:t>England</w:t>
      </w:r>
      <w:proofErr w:type="spellEnd"/>
      <w:r w:rsidRPr="00284673">
        <w:rPr>
          <w:rFonts w:cstheme="minorHAnsi"/>
          <w:i/>
          <w:iCs/>
          <w:lang w:val="pt-BR"/>
        </w:rPr>
        <w:t xml:space="preserve"> </w:t>
      </w:r>
      <w:proofErr w:type="spellStart"/>
      <w:r w:rsidRPr="00284673">
        <w:rPr>
          <w:rFonts w:cstheme="minorHAnsi"/>
          <w:i/>
          <w:iCs/>
          <w:lang w:val="pt-BR"/>
        </w:rPr>
        <w:t>Journal</w:t>
      </w:r>
      <w:proofErr w:type="spellEnd"/>
      <w:r w:rsidRPr="00284673">
        <w:rPr>
          <w:rFonts w:cstheme="minorHAnsi"/>
          <w:i/>
          <w:iCs/>
          <w:lang w:val="pt-BR"/>
        </w:rPr>
        <w:t xml:space="preserve"> </w:t>
      </w:r>
      <w:proofErr w:type="spellStart"/>
      <w:r w:rsidRPr="00284673">
        <w:rPr>
          <w:rFonts w:cstheme="minorHAnsi"/>
          <w:i/>
          <w:iCs/>
          <w:lang w:val="pt-BR"/>
        </w:rPr>
        <w:t>of</w:t>
      </w:r>
      <w:proofErr w:type="spellEnd"/>
      <w:r w:rsidRPr="00284673">
        <w:rPr>
          <w:rFonts w:cstheme="minorHAnsi"/>
          <w:i/>
          <w:iCs/>
          <w:lang w:val="pt-BR"/>
        </w:rPr>
        <w:t xml:space="preserve"> Medicin</w:t>
      </w:r>
      <w:r w:rsidR="00C634B1">
        <w:rPr>
          <w:rFonts w:cstheme="minorHAnsi"/>
          <w:i/>
          <w:iCs/>
          <w:lang w:val="pt-BR"/>
        </w:rPr>
        <w:t xml:space="preserve">e, </w:t>
      </w:r>
      <w:r w:rsidR="00C634B1">
        <w:rPr>
          <w:rFonts w:cstheme="minorHAnsi"/>
          <w:lang w:val="pt-BR"/>
        </w:rPr>
        <w:t>nesta quinta-feira (23)</w:t>
      </w:r>
      <w:r w:rsidRPr="00284673">
        <w:rPr>
          <w:rFonts w:cstheme="minorHAnsi"/>
          <w:lang w:val="pt-BR"/>
        </w:rPr>
        <w:t>. O estudo contou com apoio da farmacêutica EMS, que forneceu os medicamentos, e foi aprovado pela Comissão Nacional de Ética em Pesquisa (</w:t>
      </w:r>
      <w:proofErr w:type="spellStart"/>
      <w:r w:rsidRPr="00284673">
        <w:rPr>
          <w:rFonts w:cstheme="minorHAnsi"/>
          <w:lang w:val="pt-BR"/>
        </w:rPr>
        <w:t>Conep</w:t>
      </w:r>
      <w:proofErr w:type="spellEnd"/>
      <w:r w:rsidRPr="00284673">
        <w:rPr>
          <w:rFonts w:cstheme="minorHAnsi"/>
          <w:lang w:val="pt-BR"/>
        </w:rPr>
        <w:t xml:space="preserve">) e Agência Nacional de Vigilância Sanitária (Anvisa).  </w:t>
      </w:r>
    </w:p>
    <w:p w14:paraId="785127F1" w14:textId="77777777" w:rsidR="00284673" w:rsidRPr="00284673" w:rsidRDefault="00284673" w:rsidP="00284673">
      <w:pPr>
        <w:jc w:val="both"/>
        <w:rPr>
          <w:rFonts w:cstheme="minorHAnsi"/>
          <w:lang w:val="pt-BR"/>
        </w:rPr>
      </w:pPr>
    </w:p>
    <w:p w14:paraId="5C763904" w14:textId="14286A12" w:rsidR="00284673" w:rsidRPr="00284673" w:rsidRDefault="00284673" w:rsidP="00284673">
      <w:pPr>
        <w:jc w:val="both"/>
        <w:rPr>
          <w:rFonts w:cstheme="minorHAnsi"/>
          <w:lang w:val="pt-BR"/>
        </w:rPr>
      </w:pPr>
      <w:r w:rsidRPr="00284673">
        <w:rPr>
          <w:rFonts w:cstheme="minorHAnsi"/>
          <w:lang w:val="pt-BR"/>
        </w:rPr>
        <w:t xml:space="preserve">O Coalizão I teve início no dia 29 de março, com inclusão do último paciente em 17 de maio, e seguimento clínico finalizado em 2 de junho. Foram incluídos 667 pacientes com quadros leves ou moderados (que não precisavam de oxigênio ou precisavam de, no máximo, 4 litros por minuto de oxigênio suplementar), em 55 hospitais brasileiros. Por meio de randomização (sorteio) os pacientes receberam combinação de </w:t>
      </w:r>
      <w:proofErr w:type="spellStart"/>
      <w:r w:rsidRPr="00284673">
        <w:rPr>
          <w:rFonts w:cstheme="minorHAnsi"/>
          <w:lang w:val="pt-BR"/>
        </w:rPr>
        <w:t>hidroxicloroquina</w:t>
      </w:r>
      <w:proofErr w:type="spellEnd"/>
      <w:r w:rsidRPr="00284673">
        <w:rPr>
          <w:rFonts w:cstheme="minorHAnsi"/>
          <w:lang w:val="pt-BR"/>
        </w:rPr>
        <w:t xml:space="preserve">, azitromicina mais suporte clínico padrão (217 pacientes); </w:t>
      </w:r>
      <w:proofErr w:type="spellStart"/>
      <w:r w:rsidRPr="00284673">
        <w:rPr>
          <w:rFonts w:cstheme="minorHAnsi"/>
          <w:lang w:val="pt-BR"/>
        </w:rPr>
        <w:t>hidroxicloroquina</w:t>
      </w:r>
      <w:proofErr w:type="spellEnd"/>
      <w:r w:rsidRPr="00284673">
        <w:rPr>
          <w:rFonts w:cstheme="minorHAnsi"/>
          <w:lang w:val="pt-BR"/>
        </w:rPr>
        <w:t xml:space="preserve"> mais suporte clínico padrão (221 pacientes); ou apenas suporte clínico padrão (grupo controle, 227 pacientes). A </w:t>
      </w:r>
      <w:proofErr w:type="spellStart"/>
      <w:r w:rsidRPr="00284673">
        <w:rPr>
          <w:rFonts w:cstheme="minorHAnsi"/>
          <w:lang w:val="pt-BR"/>
        </w:rPr>
        <w:t>hidroxicloroquina</w:t>
      </w:r>
      <w:proofErr w:type="spellEnd"/>
      <w:r w:rsidRPr="00284673">
        <w:rPr>
          <w:rFonts w:cstheme="minorHAnsi"/>
          <w:lang w:val="pt-BR"/>
        </w:rPr>
        <w:t xml:space="preserve"> foi usada durante 7 dias na dose de 400 mg a cada 12 horas e a azitromicina 500mg a cada 24h por 7 dias. O suporte clínico padrão foi de acordo com a equipe médica que assistia os pacientes, mas não poderia incluir </w:t>
      </w:r>
      <w:proofErr w:type="spellStart"/>
      <w:r w:rsidRPr="00284673">
        <w:rPr>
          <w:rFonts w:cstheme="minorHAnsi"/>
          <w:lang w:val="pt-BR"/>
        </w:rPr>
        <w:t>hidroxicloroquina</w:t>
      </w:r>
      <w:proofErr w:type="spellEnd"/>
      <w:r w:rsidRPr="00284673">
        <w:rPr>
          <w:rFonts w:cstheme="minorHAnsi"/>
          <w:lang w:val="pt-BR"/>
        </w:rPr>
        <w:t xml:space="preserve"> ou azitromicina. </w:t>
      </w:r>
    </w:p>
    <w:p w14:paraId="3E764105" w14:textId="77777777" w:rsidR="00284673" w:rsidRPr="00284673" w:rsidRDefault="00284673" w:rsidP="00284673">
      <w:pPr>
        <w:jc w:val="both"/>
        <w:rPr>
          <w:rFonts w:cstheme="minorHAnsi"/>
          <w:lang w:val="pt-BR"/>
        </w:rPr>
      </w:pPr>
    </w:p>
    <w:p w14:paraId="59A92C3D" w14:textId="33799849" w:rsidR="00284673" w:rsidRPr="00284673" w:rsidRDefault="00284673" w:rsidP="00284673">
      <w:pPr>
        <w:jc w:val="both"/>
        <w:rPr>
          <w:rFonts w:cstheme="minorHAnsi"/>
          <w:lang w:val="pt-BR"/>
        </w:rPr>
      </w:pPr>
      <w:r w:rsidRPr="00284673">
        <w:rPr>
          <w:rFonts w:cstheme="minorHAnsi"/>
          <w:lang w:val="pt-BR"/>
        </w:rPr>
        <w:t xml:space="preserve">A avaliação do efeito do tratamento com </w:t>
      </w:r>
      <w:proofErr w:type="spellStart"/>
      <w:r w:rsidRPr="00284673">
        <w:rPr>
          <w:rFonts w:cstheme="minorHAnsi"/>
          <w:lang w:val="pt-BR"/>
        </w:rPr>
        <w:t>hidroxicloroquina</w:t>
      </w:r>
      <w:proofErr w:type="spellEnd"/>
      <w:r w:rsidRPr="00284673">
        <w:rPr>
          <w:rFonts w:cstheme="minorHAnsi"/>
          <w:lang w:val="pt-BR"/>
        </w:rPr>
        <w:t>, com ou sem azitromicina, considerou como resultado principal o status clínicos dos pacientes 15 dias após a inclusão. O status clínico foi caracterizado em 7 níveis, do melhor para o pior (1. paciente em casa sem limitaç</w:t>
      </w:r>
      <w:r>
        <w:rPr>
          <w:rFonts w:cstheme="minorHAnsi"/>
          <w:lang w:val="pt-BR"/>
        </w:rPr>
        <w:t>õ</w:t>
      </w:r>
      <w:r w:rsidRPr="00284673">
        <w:rPr>
          <w:rFonts w:cstheme="minorHAnsi"/>
          <w:lang w:val="pt-BR"/>
        </w:rPr>
        <w:t>es às atividades habituais; 2. paciente em casa com limitações às atividades habituais; 3. paciente hospitalizado sem necessidade de oxig</w:t>
      </w:r>
      <w:r>
        <w:rPr>
          <w:rFonts w:cstheme="minorHAnsi"/>
          <w:lang w:val="pt-BR"/>
        </w:rPr>
        <w:t>ê</w:t>
      </w:r>
      <w:r w:rsidRPr="00284673">
        <w:rPr>
          <w:rFonts w:cstheme="minorHAnsi"/>
          <w:lang w:val="pt-BR"/>
        </w:rPr>
        <w:t xml:space="preserve">nio; 4. Pacientes hospitalizado com necessidade de oxigênio; 5. Pacientes hospitalizado necessitando de ventilação mecânica não </w:t>
      </w:r>
      <w:r w:rsidRPr="00284673">
        <w:rPr>
          <w:rFonts w:cstheme="minorHAnsi"/>
          <w:lang w:val="pt-BR"/>
        </w:rPr>
        <w:lastRenderedPageBreak/>
        <w:t>invasiva ou c</w:t>
      </w:r>
      <w:r>
        <w:rPr>
          <w:rFonts w:cstheme="minorHAnsi"/>
          <w:lang w:val="pt-BR"/>
        </w:rPr>
        <w:t>â</w:t>
      </w:r>
      <w:r w:rsidRPr="00284673">
        <w:rPr>
          <w:rFonts w:cstheme="minorHAnsi"/>
          <w:lang w:val="pt-BR"/>
        </w:rPr>
        <w:t>nula de alto fluxo; 6. Paciente hospitalizado necessitando de ventilação mecânica invasiva; 7. Óbito).</w:t>
      </w:r>
    </w:p>
    <w:p w14:paraId="4A130EAE" w14:textId="77777777" w:rsidR="00284673" w:rsidRPr="00284673" w:rsidRDefault="00284673" w:rsidP="00284673">
      <w:pPr>
        <w:jc w:val="both"/>
        <w:rPr>
          <w:rFonts w:cstheme="minorHAnsi"/>
          <w:lang w:val="pt-BR"/>
        </w:rPr>
      </w:pPr>
    </w:p>
    <w:p w14:paraId="5826FFFA" w14:textId="77777777" w:rsidR="00284673" w:rsidRPr="00284673" w:rsidRDefault="00284673" w:rsidP="00284673">
      <w:pPr>
        <w:jc w:val="both"/>
        <w:rPr>
          <w:rFonts w:cstheme="minorHAnsi"/>
          <w:b/>
          <w:bCs/>
          <w:lang w:val="pt-BR"/>
        </w:rPr>
      </w:pPr>
    </w:p>
    <w:p w14:paraId="6B3700B2" w14:textId="77777777" w:rsidR="00284673" w:rsidRPr="00284673" w:rsidRDefault="00284673" w:rsidP="00284673">
      <w:pPr>
        <w:jc w:val="both"/>
        <w:outlineLvl w:val="0"/>
        <w:rPr>
          <w:rFonts w:cstheme="minorHAnsi"/>
          <w:b/>
          <w:bCs/>
          <w:lang w:val="pt-BR"/>
        </w:rPr>
      </w:pPr>
      <w:r w:rsidRPr="00284673">
        <w:rPr>
          <w:rFonts w:cstheme="minorHAnsi"/>
          <w:b/>
          <w:bCs/>
          <w:lang w:val="pt-BR"/>
        </w:rPr>
        <w:t>O QUE ACONTECEU COM OS PACIENTES INCLUÍDOS NO ESTUDO?</w:t>
      </w:r>
    </w:p>
    <w:p w14:paraId="38229591" w14:textId="77777777" w:rsidR="00284673" w:rsidRPr="00284673" w:rsidRDefault="00284673" w:rsidP="00284673">
      <w:pPr>
        <w:jc w:val="both"/>
        <w:rPr>
          <w:rFonts w:cstheme="minorHAnsi"/>
          <w:lang w:val="pt-BR"/>
        </w:rPr>
      </w:pPr>
    </w:p>
    <w:p w14:paraId="21D09A8B" w14:textId="77777777" w:rsidR="00284673" w:rsidRPr="00284673" w:rsidRDefault="00284673" w:rsidP="00284673">
      <w:pPr>
        <w:jc w:val="both"/>
        <w:rPr>
          <w:rFonts w:cstheme="minorHAnsi"/>
          <w:lang w:val="pt-BR"/>
        </w:rPr>
      </w:pPr>
      <w:r w:rsidRPr="00284673">
        <w:rPr>
          <w:rFonts w:cstheme="minorHAnsi"/>
          <w:lang w:val="pt-BR"/>
        </w:rPr>
        <w:t xml:space="preserve">O status clínico aos 15 dias foi similar nos grupos tratados com </w:t>
      </w:r>
      <w:proofErr w:type="spellStart"/>
      <w:r w:rsidRPr="00284673">
        <w:rPr>
          <w:rFonts w:cstheme="minorHAnsi"/>
          <w:lang w:val="pt-BR"/>
        </w:rPr>
        <w:t>hidroxicloroquina</w:t>
      </w:r>
      <w:proofErr w:type="spellEnd"/>
      <w:r w:rsidRPr="00284673">
        <w:rPr>
          <w:rFonts w:cstheme="minorHAnsi"/>
          <w:lang w:val="pt-BR"/>
        </w:rPr>
        <w:t xml:space="preserve"> e azitromicina, </w:t>
      </w:r>
      <w:proofErr w:type="spellStart"/>
      <w:r w:rsidRPr="00284673">
        <w:rPr>
          <w:rFonts w:cstheme="minorHAnsi"/>
          <w:lang w:val="pt-BR"/>
        </w:rPr>
        <w:t>hidroxicloroquina</w:t>
      </w:r>
      <w:proofErr w:type="spellEnd"/>
      <w:r w:rsidRPr="00284673">
        <w:rPr>
          <w:rFonts w:cstheme="minorHAnsi"/>
          <w:lang w:val="pt-BR"/>
        </w:rPr>
        <w:t xml:space="preserve"> isolada ou grupo controle. Por exemplo, após 15 dias, estavam em casa sem limitações respiratórias: </w:t>
      </w:r>
    </w:p>
    <w:p w14:paraId="5AC5892E" w14:textId="77777777" w:rsidR="00284673" w:rsidRPr="00284673" w:rsidRDefault="00284673" w:rsidP="00284673">
      <w:pPr>
        <w:jc w:val="both"/>
        <w:rPr>
          <w:rFonts w:cstheme="minorHAnsi"/>
          <w:lang w:val="pt-BR"/>
        </w:rPr>
      </w:pPr>
      <w:r w:rsidRPr="00284673">
        <w:rPr>
          <w:rFonts w:cstheme="minorHAnsi"/>
          <w:lang w:val="pt-BR"/>
        </w:rPr>
        <w:t xml:space="preserve">- 69% dos pacientes do grupo </w:t>
      </w:r>
      <w:proofErr w:type="spellStart"/>
      <w:r w:rsidRPr="00284673">
        <w:rPr>
          <w:rFonts w:cstheme="minorHAnsi"/>
          <w:lang w:val="pt-BR"/>
        </w:rPr>
        <w:t>hidroxicloroquina</w:t>
      </w:r>
      <w:proofErr w:type="spellEnd"/>
      <w:r w:rsidRPr="00284673">
        <w:rPr>
          <w:rFonts w:cstheme="minorHAnsi"/>
          <w:lang w:val="pt-BR"/>
        </w:rPr>
        <w:t xml:space="preserve"> + azitromicina + suporte clínico padrão; </w:t>
      </w:r>
    </w:p>
    <w:p w14:paraId="672C9CE0" w14:textId="77777777" w:rsidR="00284673" w:rsidRPr="00284673" w:rsidRDefault="00284673" w:rsidP="00284673">
      <w:pPr>
        <w:jc w:val="both"/>
        <w:rPr>
          <w:rFonts w:cstheme="minorHAnsi"/>
          <w:lang w:val="pt-BR"/>
        </w:rPr>
      </w:pPr>
      <w:r w:rsidRPr="00284673">
        <w:rPr>
          <w:rFonts w:cstheme="minorHAnsi"/>
          <w:lang w:val="pt-BR"/>
        </w:rPr>
        <w:t xml:space="preserve">- 64% dos pacientes do grupo </w:t>
      </w:r>
      <w:proofErr w:type="spellStart"/>
      <w:r w:rsidRPr="00284673">
        <w:rPr>
          <w:rFonts w:cstheme="minorHAnsi"/>
          <w:lang w:val="pt-BR"/>
        </w:rPr>
        <w:t>hidroxicloroquina</w:t>
      </w:r>
      <w:proofErr w:type="spellEnd"/>
      <w:r w:rsidRPr="00284673">
        <w:rPr>
          <w:rFonts w:cstheme="minorHAnsi"/>
          <w:lang w:val="pt-BR"/>
        </w:rPr>
        <w:t xml:space="preserve"> + suporte clínico padrão;</w:t>
      </w:r>
    </w:p>
    <w:p w14:paraId="358B1E2F" w14:textId="77777777" w:rsidR="00284673" w:rsidRPr="00284673" w:rsidRDefault="00284673" w:rsidP="00284673">
      <w:pPr>
        <w:jc w:val="both"/>
        <w:rPr>
          <w:rFonts w:cstheme="minorHAnsi"/>
          <w:lang w:val="pt-BR"/>
        </w:rPr>
      </w:pPr>
      <w:r w:rsidRPr="00284673">
        <w:rPr>
          <w:rFonts w:cstheme="minorHAnsi"/>
          <w:lang w:val="pt-BR"/>
        </w:rPr>
        <w:t xml:space="preserve">- 68% dos pacientes do grupo suporte clínico padrão. </w:t>
      </w:r>
    </w:p>
    <w:p w14:paraId="2A1231E3" w14:textId="77777777" w:rsidR="00C634B1" w:rsidRDefault="00C634B1" w:rsidP="00284673">
      <w:pPr>
        <w:jc w:val="both"/>
        <w:rPr>
          <w:rFonts w:cstheme="minorHAnsi"/>
          <w:b/>
          <w:bCs/>
          <w:color w:val="000000" w:themeColor="text1"/>
          <w:lang w:val="pt-BR"/>
        </w:rPr>
      </w:pPr>
    </w:p>
    <w:p w14:paraId="3511BEA0" w14:textId="0A5CED8F" w:rsidR="00284673" w:rsidRPr="00284673" w:rsidRDefault="00284673" w:rsidP="00284673">
      <w:pPr>
        <w:jc w:val="both"/>
        <w:rPr>
          <w:rFonts w:cstheme="minorHAnsi"/>
          <w:b/>
          <w:bCs/>
          <w:color w:val="000000" w:themeColor="text1"/>
          <w:lang w:val="pt-BR"/>
        </w:rPr>
      </w:pPr>
      <w:r w:rsidRPr="00284673">
        <w:rPr>
          <w:rFonts w:cstheme="minorHAnsi"/>
          <w:b/>
          <w:bCs/>
          <w:color w:val="000000" w:themeColor="text1"/>
          <w:lang w:val="pt-BR"/>
        </w:rPr>
        <w:t xml:space="preserve">Interpretação: a utilização de HCQ ou Azitromicina não promoveu melhoria na evolução clínica dos pacientes. </w:t>
      </w:r>
    </w:p>
    <w:p w14:paraId="04CAD9E5" w14:textId="0933C22E" w:rsidR="00284673" w:rsidRDefault="00284673" w:rsidP="00284673">
      <w:pPr>
        <w:jc w:val="both"/>
        <w:rPr>
          <w:rFonts w:cstheme="minorHAnsi"/>
          <w:lang w:val="pt-BR"/>
        </w:rPr>
      </w:pPr>
    </w:p>
    <w:p w14:paraId="21AD2479" w14:textId="77777777" w:rsidR="00C634B1" w:rsidRPr="00284673" w:rsidRDefault="00C634B1" w:rsidP="00284673">
      <w:pPr>
        <w:jc w:val="both"/>
        <w:rPr>
          <w:rFonts w:cstheme="minorHAnsi"/>
          <w:lang w:val="pt-BR"/>
        </w:rPr>
      </w:pPr>
    </w:p>
    <w:p w14:paraId="7515CA87" w14:textId="77777777" w:rsidR="00284673" w:rsidRPr="00284673" w:rsidRDefault="00284673" w:rsidP="00284673">
      <w:pPr>
        <w:jc w:val="both"/>
        <w:outlineLvl w:val="0"/>
        <w:rPr>
          <w:rFonts w:cstheme="minorHAnsi"/>
          <w:b/>
          <w:bCs/>
          <w:lang w:val="pt-BR"/>
        </w:rPr>
      </w:pPr>
      <w:r w:rsidRPr="00284673">
        <w:rPr>
          <w:rFonts w:cstheme="minorHAnsi"/>
          <w:b/>
          <w:bCs/>
          <w:lang w:val="pt-BR"/>
        </w:rPr>
        <w:t xml:space="preserve">EFEITOS ADVERSOS </w:t>
      </w:r>
    </w:p>
    <w:p w14:paraId="6007A0EA" w14:textId="77777777" w:rsidR="00284673" w:rsidRPr="00284673" w:rsidRDefault="00284673" w:rsidP="00284673">
      <w:pPr>
        <w:jc w:val="both"/>
        <w:rPr>
          <w:rFonts w:cstheme="minorHAnsi"/>
          <w:lang w:val="pt-BR"/>
        </w:rPr>
      </w:pPr>
      <w:r w:rsidRPr="00284673">
        <w:rPr>
          <w:rFonts w:cstheme="minorHAnsi"/>
          <w:lang w:val="pt-BR"/>
        </w:rPr>
        <w:t xml:space="preserve">No que diz respeito aos efeitos adversos, a pesquisa evidenciou dois pontos que merecem destaque: </w:t>
      </w:r>
    </w:p>
    <w:p w14:paraId="0361CAFC" w14:textId="77777777" w:rsidR="00284673" w:rsidRPr="00284673" w:rsidRDefault="00284673" w:rsidP="00284673">
      <w:pPr>
        <w:jc w:val="both"/>
        <w:rPr>
          <w:rFonts w:cstheme="minorHAnsi"/>
          <w:lang w:val="pt-BR"/>
        </w:rPr>
      </w:pPr>
    </w:p>
    <w:p w14:paraId="59B4DFC4" w14:textId="77777777" w:rsidR="00284673" w:rsidRPr="00284673" w:rsidRDefault="00284673" w:rsidP="00284673">
      <w:pPr>
        <w:jc w:val="both"/>
        <w:rPr>
          <w:rFonts w:cstheme="minorHAnsi"/>
          <w:lang w:val="pt-BR"/>
        </w:rPr>
      </w:pPr>
      <w:r w:rsidRPr="00284673">
        <w:rPr>
          <w:rFonts w:cstheme="minorHAnsi"/>
          <w:lang w:val="pt-BR"/>
        </w:rPr>
        <w:t xml:space="preserve">1. Alterações em exames de eletrocardiograma (aumento do intervalo QT, que representa maior risco para arritmias) foi mais frequente nos grupos que utilizaram </w:t>
      </w:r>
      <w:proofErr w:type="spellStart"/>
      <w:r w:rsidRPr="00284673">
        <w:rPr>
          <w:rFonts w:cstheme="minorHAnsi"/>
          <w:lang w:val="pt-BR"/>
        </w:rPr>
        <w:t>hidroxicloroquina</w:t>
      </w:r>
      <w:proofErr w:type="spellEnd"/>
      <w:r w:rsidRPr="00284673">
        <w:rPr>
          <w:rFonts w:cstheme="minorHAnsi"/>
          <w:lang w:val="pt-BR"/>
        </w:rPr>
        <w:t>, com ou sem azitromicina, comparada ao grupo que recebeu apenas suporte padrão.</w:t>
      </w:r>
    </w:p>
    <w:p w14:paraId="0AF94137" w14:textId="77777777" w:rsidR="00284673" w:rsidRPr="00284673" w:rsidRDefault="00284673" w:rsidP="00284673">
      <w:pPr>
        <w:jc w:val="both"/>
        <w:rPr>
          <w:rFonts w:cstheme="minorHAnsi"/>
          <w:lang w:val="pt-BR"/>
        </w:rPr>
      </w:pPr>
    </w:p>
    <w:p w14:paraId="17479ABF" w14:textId="77777777" w:rsidR="00284673" w:rsidRPr="00284673" w:rsidRDefault="00284673" w:rsidP="00284673">
      <w:pPr>
        <w:jc w:val="both"/>
        <w:rPr>
          <w:rFonts w:cstheme="minorHAnsi"/>
          <w:lang w:val="pt-BR"/>
        </w:rPr>
      </w:pPr>
      <w:r w:rsidRPr="00284673">
        <w:rPr>
          <w:rFonts w:cstheme="minorHAnsi"/>
          <w:lang w:val="pt-BR"/>
        </w:rPr>
        <w:t xml:space="preserve">2. Alteração de exames que podem representar lesão hepática (aumento de enzimas TGO/TGP detectado no sangue) foi mais frequente nos grupos que utilizaram </w:t>
      </w:r>
      <w:proofErr w:type="spellStart"/>
      <w:r w:rsidRPr="00284673">
        <w:rPr>
          <w:rFonts w:cstheme="minorHAnsi"/>
          <w:lang w:val="pt-BR"/>
        </w:rPr>
        <w:t>hidroxicloroquina</w:t>
      </w:r>
      <w:proofErr w:type="spellEnd"/>
      <w:r w:rsidRPr="00284673">
        <w:rPr>
          <w:rFonts w:cstheme="minorHAnsi"/>
          <w:lang w:val="pt-BR"/>
        </w:rPr>
        <w:t>, com ou sem azitromicina, comparada ao grupo que recebeu apenas suporte padrão.</w:t>
      </w:r>
    </w:p>
    <w:p w14:paraId="31085AF8" w14:textId="77777777" w:rsidR="00284673" w:rsidRPr="00284673" w:rsidRDefault="00284673" w:rsidP="00284673">
      <w:pPr>
        <w:jc w:val="both"/>
        <w:rPr>
          <w:rFonts w:cstheme="minorHAnsi"/>
          <w:lang w:val="pt-BR"/>
        </w:rPr>
      </w:pPr>
    </w:p>
    <w:p w14:paraId="28969DCF" w14:textId="77777777" w:rsidR="00284673" w:rsidRPr="00284673" w:rsidRDefault="00284673" w:rsidP="00284673">
      <w:pPr>
        <w:jc w:val="both"/>
        <w:rPr>
          <w:rFonts w:cstheme="minorHAnsi"/>
          <w:lang w:val="pt-BR"/>
        </w:rPr>
      </w:pPr>
      <w:r w:rsidRPr="00284673">
        <w:rPr>
          <w:rFonts w:cstheme="minorHAnsi"/>
          <w:lang w:val="pt-BR"/>
        </w:rPr>
        <w:t xml:space="preserve">Não houve diferenças para outros eventos adversos, como arritmias, problemas hepáticos graves ou outros. </w:t>
      </w:r>
    </w:p>
    <w:p w14:paraId="3530CD24" w14:textId="05B93875" w:rsidR="00284673" w:rsidRDefault="00284673" w:rsidP="00284673">
      <w:pPr>
        <w:jc w:val="both"/>
        <w:rPr>
          <w:rFonts w:cstheme="minorHAnsi"/>
          <w:lang w:val="pt-BR"/>
        </w:rPr>
      </w:pPr>
    </w:p>
    <w:p w14:paraId="2DB791F5" w14:textId="77777777" w:rsidR="00C634B1" w:rsidRPr="00284673" w:rsidRDefault="00C634B1" w:rsidP="00284673">
      <w:pPr>
        <w:jc w:val="both"/>
        <w:rPr>
          <w:rFonts w:cstheme="minorHAnsi"/>
          <w:lang w:val="pt-BR"/>
        </w:rPr>
      </w:pPr>
    </w:p>
    <w:p w14:paraId="2C3AA7BC" w14:textId="77777777" w:rsidR="00284673" w:rsidRPr="00284673" w:rsidRDefault="00284673" w:rsidP="00284673">
      <w:pPr>
        <w:jc w:val="both"/>
        <w:outlineLvl w:val="0"/>
        <w:rPr>
          <w:rFonts w:cstheme="minorHAnsi"/>
          <w:b/>
          <w:bCs/>
          <w:lang w:val="pt-BR"/>
        </w:rPr>
      </w:pPr>
      <w:r w:rsidRPr="00284673">
        <w:rPr>
          <w:rFonts w:cstheme="minorHAnsi"/>
          <w:b/>
          <w:bCs/>
          <w:lang w:val="pt-BR"/>
        </w:rPr>
        <w:t>ÓBITOS</w:t>
      </w:r>
    </w:p>
    <w:p w14:paraId="61419FFA" w14:textId="77777777" w:rsidR="00284673" w:rsidRPr="00284673" w:rsidRDefault="00284673" w:rsidP="00284673">
      <w:pPr>
        <w:jc w:val="both"/>
        <w:outlineLvl w:val="0"/>
        <w:rPr>
          <w:rFonts w:cstheme="minorHAnsi"/>
          <w:lang w:val="pt-BR"/>
        </w:rPr>
      </w:pPr>
      <w:r w:rsidRPr="00284673">
        <w:rPr>
          <w:rFonts w:cstheme="minorHAnsi"/>
          <w:lang w:val="pt-BR"/>
        </w:rPr>
        <w:t>O número de óbitos em 15 dias foi semelhante entre os grupos, em torno de 3%.</w:t>
      </w:r>
    </w:p>
    <w:p w14:paraId="2DA31B01" w14:textId="36F50FDF" w:rsidR="00284673" w:rsidRDefault="00284673" w:rsidP="00284673">
      <w:pPr>
        <w:jc w:val="both"/>
        <w:rPr>
          <w:rFonts w:cstheme="minorHAnsi"/>
          <w:lang w:val="pt-BR"/>
        </w:rPr>
      </w:pPr>
    </w:p>
    <w:p w14:paraId="726EA411" w14:textId="77777777" w:rsidR="00C634B1" w:rsidRPr="00284673" w:rsidRDefault="00C634B1" w:rsidP="00284673">
      <w:pPr>
        <w:jc w:val="both"/>
        <w:rPr>
          <w:rFonts w:cstheme="minorHAnsi"/>
          <w:lang w:val="pt-BR"/>
        </w:rPr>
      </w:pPr>
    </w:p>
    <w:p w14:paraId="654FBF64" w14:textId="77777777" w:rsidR="00284673" w:rsidRPr="00AA4C8E" w:rsidRDefault="00284673" w:rsidP="00284673">
      <w:pPr>
        <w:jc w:val="both"/>
        <w:outlineLvl w:val="0"/>
        <w:rPr>
          <w:rFonts w:cstheme="minorHAnsi"/>
          <w:b/>
          <w:bCs/>
        </w:rPr>
      </w:pPr>
      <w:r w:rsidRPr="00AA4C8E">
        <w:rPr>
          <w:rFonts w:cstheme="minorHAnsi"/>
          <w:b/>
          <w:bCs/>
        </w:rPr>
        <w:t>OBSERVAÇÕES</w:t>
      </w:r>
    </w:p>
    <w:p w14:paraId="3F6E4ADA" w14:textId="77777777" w:rsidR="00284673" w:rsidRPr="00284673" w:rsidRDefault="00284673" w:rsidP="0028467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4673">
        <w:rPr>
          <w:rFonts w:asciiTheme="minorHAnsi" w:hAnsiTheme="minorHAnsi" w:cstheme="minorHAnsi"/>
          <w:sz w:val="24"/>
          <w:szCs w:val="24"/>
        </w:rPr>
        <w:t xml:space="preserve">Os pacientes incluídos no estudo tinham idade em torno de 50 anos. </w:t>
      </w:r>
    </w:p>
    <w:p w14:paraId="053A59C7" w14:textId="77777777" w:rsidR="00284673" w:rsidRPr="00284673" w:rsidRDefault="00284673" w:rsidP="0028467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4673">
        <w:rPr>
          <w:rFonts w:asciiTheme="minorHAnsi" w:hAnsiTheme="minorHAnsi" w:cstheme="minorHAnsi"/>
          <w:sz w:val="24"/>
          <w:szCs w:val="24"/>
        </w:rPr>
        <w:t xml:space="preserve">Pouco mais da metade deles era do sexo masculino. </w:t>
      </w:r>
    </w:p>
    <w:p w14:paraId="2A92CCD5" w14:textId="77777777" w:rsidR="00284673" w:rsidRPr="00284673" w:rsidRDefault="00284673" w:rsidP="0028467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4673">
        <w:rPr>
          <w:rFonts w:asciiTheme="minorHAnsi" w:hAnsiTheme="minorHAnsi" w:cstheme="minorHAnsi"/>
          <w:sz w:val="24"/>
          <w:szCs w:val="24"/>
        </w:rPr>
        <w:t>Foram incluídos apenas pacientes recém-admitidos ao hospital (até 48h) e que tivessem sintomas iniciados, no máximo, até sete dias antes</w:t>
      </w:r>
    </w:p>
    <w:p w14:paraId="5CC8E14B" w14:textId="104C0D8A" w:rsidR="00284673" w:rsidRPr="00284673" w:rsidRDefault="00284673" w:rsidP="0028467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4673">
        <w:rPr>
          <w:rFonts w:asciiTheme="minorHAnsi" w:hAnsiTheme="minorHAnsi" w:cstheme="minorHAnsi"/>
          <w:sz w:val="24"/>
          <w:szCs w:val="24"/>
        </w:rPr>
        <w:t>40% dos pacientes eram hipertensos, 21% eram diabéticos; 17% eram obesos.</w:t>
      </w:r>
    </w:p>
    <w:p w14:paraId="2177D2E3" w14:textId="77777777" w:rsidR="00284673" w:rsidRPr="00284673" w:rsidRDefault="00284673" w:rsidP="0028467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4673">
        <w:rPr>
          <w:rFonts w:asciiTheme="minorHAnsi" w:hAnsiTheme="minorHAnsi" w:cstheme="minorHAnsi"/>
          <w:sz w:val="24"/>
          <w:szCs w:val="24"/>
        </w:rPr>
        <w:lastRenderedPageBreak/>
        <w:t>Vale destacar que estes resultados não são aplicáveis a outras populações, a exemplo de pacientes ambulatoriais com formas mais leves e iniciais de COVID-19.  Para estes pacientes, é necessário aguardar estudos randomizados robustos em andamento.</w:t>
      </w:r>
    </w:p>
    <w:p w14:paraId="0CE223BD" w14:textId="77777777" w:rsidR="00284673" w:rsidRPr="00284673" w:rsidRDefault="00284673" w:rsidP="00284673">
      <w:pPr>
        <w:jc w:val="both"/>
        <w:rPr>
          <w:rFonts w:cstheme="minorHAnsi"/>
          <w:b/>
          <w:bCs/>
          <w:lang w:val="pt-BR"/>
        </w:rPr>
      </w:pPr>
    </w:p>
    <w:p w14:paraId="5A81B1E5" w14:textId="77777777" w:rsidR="00284673" w:rsidRPr="00284673" w:rsidRDefault="00284673" w:rsidP="00284673">
      <w:pPr>
        <w:jc w:val="both"/>
        <w:rPr>
          <w:rFonts w:cstheme="minorHAnsi"/>
          <w:b/>
          <w:bCs/>
          <w:lang w:val="pt-BR"/>
        </w:rPr>
      </w:pPr>
    </w:p>
    <w:p w14:paraId="5D2FD8C1" w14:textId="2187A60E" w:rsidR="00284673" w:rsidRPr="00284673" w:rsidRDefault="00284673" w:rsidP="00284673">
      <w:pPr>
        <w:jc w:val="both"/>
        <w:outlineLvl w:val="0"/>
        <w:rPr>
          <w:rFonts w:cstheme="minorHAnsi"/>
          <w:b/>
          <w:bCs/>
          <w:sz w:val="28"/>
          <w:szCs w:val="28"/>
          <w:lang w:val="pt-BR"/>
        </w:rPr>
      </w:pPr>
      <w:bookmarkStart w:id="1" w:name="_Hlk46296264"/>
      <w:r w:rsidRPr="00284673">
        <w:rPr>
          <w:rFonts w:cstheme="minorHAnsi"/>
          <w:b/>
          <w:bCs/>
          <w:sz w:val="28"/>
          <w:szCs w:val="28"/>
          <w:lang w:val="pt-BR"/>
        </w:rPr>
        <w:t>Os outros estudos da Coalizão COVID-19 Brasil em andamento</w:t>
      </w:r>
    </w:p>
    <w:p w14:paraId="0F9B46DF" w14:textId="77777777" w:rsidR="00284673" w:rsidRPr="00284673" w:rsidRDefault="00284673" w:rsidP="00284673">
      <w:pPr>
        <w:jc w:val="both"/>
        <w:rPr>
          <w:rFonts w:cstheme="minorHAnsi"/>
          <w:b/>
          <w:bCs/>
          <w:lang w:val="pt-BR"/>
        </w:rPr>
      </w:pPr>
    </w:p>
    <w:p w14:paraId="52FA9BEC" w14:textId="77777777" w:rsidR="00284673" w:rsidRPr="00284673" w:rsidRDefault="00284673" w:rsidP="00284673">
      <w:pPr>
        <w:pStyle w:val="PargrafodaList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8467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Coalizão II - </w:t>
      </w:r>
      <w:r w:rsidRPr="00284673">
        <w:rPr>
          <w:rFonts w:asciiTheme="minorHAnsi" w:hAnsiTheme="minorHAnsi" w:cstheme="minorHAnsi"/>
          <w:color w:val="000000"/>
          <w:sz w:val="24"/>
          <w:szCs w:val="24"/>
        </w:rPr>
        <w:t xml:space="preserve">Avaliou casos de Covid-19 mais graves que necessitaram de maior suporte respiratório. Todos os pacientes receberam </w:t>
      </w:r>
      <w:proofErr w:type="spellStart"/>
      <w:r w:rsidRPr="00284673">
        <w:rPr>
          <w:rFonts w:asciiTheme="minorHAnsi" w:hAnsiTheme="minorHAnsi" w:cstheme="minorHAnsi"/>
          <w:color w:val="000000"/>
          <w:sz w:val="24"/>
          <w:szCs w:val="24"/>
        </w:rPr>
        <w:t>hidroxicloroquina</w:t>
      </w:r>
      <w:proofErr w:type="spellEnd"/>
      <w:r w:rsidRPr="00284673">
        <w:rPr>
          <w:rFonts w:asciiTheme="minorHAnsi" w:hAnsiTheme="minorHAnsi" w:cstheme="minorHAnsi"/>
          <w:color w:val="000000"/>
          <w:sz w:val="24"/>
          <w:szCs w:val="24"/>
        </w:rPr>
        <w:t xml:space="preserve">, e de forma aleatória (sorteio), os pacientes foram alocados em dois grupos: um que recebia adicionalmente azitromicina, e outro que não recebia azitromicina (grupo controle). Todos os pacientes receberam tratamento padrão que incluía </w:t>
      </w:r>
      <w:proofErr w:type="spellStart"/>
      <w:r w:rsidRPr="00284673">
        <w:rPr>
          <w:rFonts w:asciiTheme="minorHAnsi" w:hAnsiTheme="minorHAnsi" w:cstheme="minorHAnsi"/>
          <w:color w:val="000000"/>
          <w:sz w:val="24"/>
          <w:szCs w:val="24"/>
        </w:rPr>
        <w:t>hidroxicloroquina</w:t>
      </w:r>
      <w:proofErr w:type="spellEnd"/>
      <w:r w:rsidRPr="00284673">
        <w:rPr>
          <w:rFonts w:asciiTheme="minorHAnsi" w:hAnsiTheme="minorHAnsi" w:cstheme="minorHAnsi"/>
          <w:color w:val="000000"/>
          <w:sz w:val="24"/>
          <w:szCs w:val="24"/>
        </w:rPr>
        <w:t>. Em breve os resultados serão divulgados.</w:t>
      </w:r>
    </w:p>
    <w:p w14:paraId="733C8E70" w14:textId="77777777" w:rsidR="00284673" w:rsidRPr="00284673" w:rsidRDefault="00284673" w:rsidP="00284673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31597E" w14:textId="77777777" w:rsidR="00284673" w:rsidRPr="00284673" w:rsidRDefault="00284673" w:rsidP="00284673">
      <w:pPr>
        <w:pStyle w:val="PargrafodaLista"/>
        <w:numPr>
          <w:ilvl w:val="0"/>
          <w:numId w:val="1"/>
        </w:numPr>
        <w:spacing w:line="300" w:lineRule="atLeast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284673">
        <w:rPr>
          <w:rFonts w:asciiTheme="minorHAnsi" w:eastAsia="Times New Roman" w:hAnsiTheme="minorHAnsi" w:cstheme="minorHAnsi"/>
          <w:b/>
          <w:bCs/>
          <w:sz w:val="24"/>
          <w:szCs w:val="24"/>
        </w:rPr>
        <w:t>Coalizão III –</w:t>
      </w:r>
      <w:r w:rsidRPr="00284673">
        <w:rPr>
          <w:rFonts w:asciiTheme="minorHAnsi" w:hAnsiTheme="minorHAnsi" w:cstheme="minorHAnsi"/>
          <w:sz w:val="24"/>
          <w:szCs w:val="24"/>
        </w:rPr>
        <w:t xml:space="preserve"> Avalia </w:t>
      </w:r>
      <w:r w:rsidRPr="00284673">
        <w:rPr>
          <w:rFonts w:asciiTheme="minorHAnsi" w:hAnsiTheme="minorHAnsi" w:cstheme="minorHAnsi"/>
          <w:color w:val="000000"/>
          <w:sz w:val="24"/>
          <w:szCs w:val="24"/>
        </w:rPr>
        <w:t>a efetividade da dexametasona para casos de Covid19 com síndrome respiratória aguda grave. A dexametasona é uma medicação com ação anti-inflamatória. Inclusão de pacientes encerrada com 299 casos em 40 centros. Resultados devem ser publicados brevemente.</w:t>
      </w:r>
    </w:p>
    <w:p w14:paraId="4A2FE301" w14:textId="77777777" w:rsidR="00C634B1" w:rsidRPr="00C634B1" w:rsidRDefault="00C634B1" w:rsidP="00C634B1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</w:p>
    <w:p w14:paraId="08F779B6" w14:textId="2A248271" w:rsidR="00284673" w:rsidRPr="00284673" w:rsidRDefault="00284673" w:rsidP="00284673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8467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Coalizão IV – </w:t>
      </w:r>
      <w:r w:rsidRPr="00284673">
        <w:rPr>
          <w:rFonts w:asciiTheme="minorHAnsi" w:hAnsiTheme="minorHAnsi" w:cstheme="minorHAnsi"/>
          <w:color w:val="000000"/>
          <w:sz w:val="24"/>
          <w:szCs w:val="24"/>
        </w:rPr>
        <w:t xml:space="preserve">Está avaliando se a </w:t>
      </w:r>
      <w:proofErr w:type="spellStart"/>
      <w:r w:rsidRPr="00284673">
        <w:rPr>
          <w:rFonts w:asciiTheme="minorHAnsi" w:hAnsiTheme="minorHAnsi" w:cstheme="minorHAnsi"/>
          <w:color w:val="000000"/>
          <w:sz w:val="24"/>
          <w:szCs w:val="24"/>
        </w:rPr>
        <w:t>anticoagulação</w:t>
      </w:r>
      <w:proofErr w:type="spellEnd"/>
      <w:r w:rsidRPr="00284673">
        <w:rPr>
          <w:rFonts w:asciiTheme="minorHAnsi" w:hAnsiTheme="minorHAnsi" w:cstheme="minorHAnsi"/>
          <w:color w:val="000000"/>
          <w:sz w:val="24"/>
          <w:szCs w:val="24"/>
        </w:rPr>
        <w:t xml:space="preserve"> plena com </w:t>
      </w:r>
      <w:proofErr w:type="spellStart"/>
      <w:r w:rsidRPr="00284673">
        <w:rPr>
          <w:rFonts w:asciiTheme="minorHAnsi" w:hAnsiTheme="minorHAnsi" w:cstheme="minorHAnsi"/>
          <w:color w:val="000000"/>
          <w:sz w:val="24"/>
          <w:szCs w:val="24"/>
        </w:rPr>
        <w:t>rivaroxabana</w:t>
      </w:r>
      <w:proofErr w:type="spellEnd"/>
      <w:r w:rsidRPr="00284673">
        <w:rPr>
          <w:rFonts w:asciiTheme="minorHAnsi" w:hAnsiTheme="minorHAnsi" w:cstheme="minorHAnsi"/>
          <w:color w:val="000000"/>
          <w:sz w:val="24"/>
          <w:szCs w:val="24"/>
        </w:rPr>
        <w:t xml:space="preserve"> traz benefícios para pacientes com COVID-19 com risco aumentado para eventos tromboembólicos. Foram incluídos 10 de um total previsto de 600 pacientes em 40 centros.</w:t>
      </w:r>
    </w:p>
    <w:p w14:paraId="1904F138" w14:textId="77777777" w:rsidR="00284673" w:rsidRPr="00284673" w:rsidRDefault="00284673" w:rsidP="00284673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A6B5DD" w14:textId="55AD042A" w:rsidR="00284673" w:rsidRPr="00284673" w:rsidRDefault="00284673" w:rsidP="00284673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467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Coalizão V – </w:t>
      </w:r>
      <w:r w:rsidRPr="00284673">
        <w:rPr>
          <w:rFonts w:asciiTheme="minorHAnsi" w:hAnsiTheme="minorHAnsi" w:cstheme="minorHAnsi"/>
          <w:color w:val="000000"/>
          <w:sz w:val="24"/>
          <w:szCs w:val="24"/>
        </w:rPr>
        <w:t xml:space="preserve">Está avaliando se a </w:t>
      </w:r>
      <w:proofErr w:type="spellStart"/>
      <w:r w:rsidRPr="00284673">
        <w:rPr>
          <w:rFonts w:asciiTheme="minorHAnsi" w:hAnsiTheme="minorHAnsi" w:cstheme="minorHAnsi"/>
          <w:color w:val="000000"/>
          <w:sz w:val="24"/>
          <w:szCs w:val="24"/>
        </w:rPr>
        <w:t>hidroxicloroquina</w:t>
      </w:r>
      <w:proofErr w:type="spellEnd"/>
      <w:r w:rsidRPr="00284673">
        <w:rPr>
          <w:rFonts w:asciiTheme="minorHAnsi" w:hAnsiTheme="minorHAnsi" w:cstheme="minorHAnsi"/>
          <w:color w:val="000000"/>
          <w:sz w:val="24"/>
          <w:szCs w:val="24"/>
        </w:rPr>
        <w:t xml:space="preserve"> previne o agravamento da Covid19 em pacientes que não precisam de internação hospitalar. Foram incluídos 454 de um total previsto de 1300 pacientes em 68 centros.</w:t>
      </w:r>
    </w:p>
    <w:p w14:paraId="2F9BD08A" w14:textId="77777777" w:rsidR="00284673" w:rsidRPr="00284673" w:rsidRDefault="00284673" w:rsidP="00284673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9C19EC" w14:textId="6985944D" w:rsidR="00284673" w:rsidRPr="00284673" w:rsidRDefault="00284673" w:rsidP="00284673">
      <w:pPr>
        <w:pStyle w:val="PargrafodaLista"/>
        <w:numPr>
          <w:ilvl w:val="0"/>
          <w:numId w:val="1"/>
        </w:numPr>
        <w:spacing w:line="300" w:lineRule="atLeast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28467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Coalizão VI – </w:t>
      </w:r>
      <w:r w:rsidRPr="00284673">
        <w:rPr>
          <w:rFonts w:asciiTheme="minorHAnsi" w:hAnsiTheme="minorHAnsi" w:cstheme="minorHAnsi"/>
          <w:color w:val="000000"/>
          <w:sz w:val="24"/>
          <w:szCs w:val="24"/>
        </w:rPr>
        <w:t xml:space="preserve">Avaliou se o </w:t>
      </w:r>
      <w:proofErr w:type="spellStart"/>
      <w:r w:rsidRPr="00284673">
        <w:rPr>
          <w:rFonts w:asciiTheme="minorHAnsi" w:hAnsiTheme="minorHAnsi" w:cstheme="minorHAnsi"/>
          <w:color w:val="000000"/>
          <w:sz w:val="24"/>
          <w:szCs w:val="24"/>
        </w:rPr>
        <w:t>tocilizumab</w:t>
      </w:r>
      <w:proofErr w:type="spellEnd"/>
      <w:r w:rsidRPr="00284673">
        <w:rPr>
          <w:rFonts w:asciiTheme="minorHAnsi" w:hAnsiTheme="minorHAnsi" w:cstheme="minorHAnsi"/>
          <w:color w:val="000000"/>
          <w:sz w:val="24"/>
          <w:szCs w:val="24"/>
        </w:rPr>
        <w:t>, um inibidor da interleucina 6, é capaz de melhorar a evolução clínica de pacientes hospitalizados com COVID-19 e fatores de risco para formas graves inflamatórias da doença. Inclusão de pacientes encerrada com 129 casos em 12 centros. Atualmente os pacientes estão sob acompanhamento clínico e os resultados deverão ser publicados em breve.</w:t>
      </w:r>
    </w:p>
    <w:p w14:paraId="0A9B39C5" w14:textId="77777777" w:rsidR="00284673" w:rsidRPr="00284673" w:rsidRDefault="00284673" w:rsidP="00284673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</w:p>
    <w:p w14:paraId="0003F58A" w14:textId="44972E08" w:rsidR="00284673" w:rsidRPr="00284673" w:rsidRDefault="00284673" w:rsidP="00284673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8467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Coalizão VII – </w:t>
      </w:r>
      <w:r w:rsidRPr="00284673">
        <w:rPr>
          <w:rFonts w:asciiTheme="minorHAnsi" w:hAnsiTheme="minorHAnsi" w:cstheme="minorHAnsi"/>
          <w:color w:val="000000"/>
          <w:sz w:val="24"/>
          <w:szCs w:val="24"/>
        </w:rPr>
        <w:t xml:space="preserve">Está avaliando o impacto a longo prazo, após alta hospitalar, incluindo qualidade de vida, de pacientes que tiveram Covid19 e foram participantes dos demais estudos da </w:t>
      </w:r>
      <w:proofErr w:type="spellStart"/>
      <w:r w:rsidRPr="00284673">
        <w:rPr>
          <w:rFonts w:asciiTheme="minorHAnsi" w:hAnsiTheme="minorHAnsi" w:cstheme="minorHAnsi"/>
          <w:color w:val="000000"/>
          <w:sz w:val="24"/>
          <w:szCs w:val="24"/>
        </w:rPr>
        <w:t>Coalizao</w:t>
      </w:r>
      <w:proofErr w:type="spellEnd"/>
      <w:r w:rsidRPr="00284673">
        <w:rPr>
          <w:rFonts w:asciiTheme="minorHAnsi" w:hAnsiTheme="minorHAnsi" w:cstheme="minorHAnsi"/>
          <w:color w:val="000000"/>
          <w:sz w:val="24"/>
          <w:szCs w:val="24"/>
        </w:rPr>
        <w:t>. Em andamento. Foram incluídos 529 pacientes.</w:t>
      </w:r>
    </w:p>
    <w:p w14:paraId="32EF60BD" w14:textId="77777777" w:rsidR="00284673" w:rsidRPr="00C634B1" w:rsidRDefault="00284673" w:rsidP="00284673">
      <w:pPr>
        <w:rPr>
          <w:rFonts w:cstheme="minorHAnsi"/>
          <w:b/>
          <w:bCs/>
          <w:lang w:val="pt-BR"/>
        </w:rPr>
      </w:pPr>
    </w:p>
    <w:p w14:paraId="245EEF95" w14:textId="371041CD" w:rsidR="00284673" w:rsidRPr="00284673" w:rsidRDefault="00284673" w:rsidP="00284673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4673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Coalizão VIII</w:t>
      </w:r>
      <w:r w:rsidRPr="0028467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634B1" w:rsidRPr="00284673">
        <w:rPr>
          <w:rFonts w:asciiTheme="minorHAnsi" w:eastAsia="Times New Roman" w:hAnsiTheme="minorHAnsi" w:cstheme="minorHAnsi"/>
          <w:b/>
          <w:bCs/>
          <w:sz w:val="24"/>
          <w:szCs w:val="24"/>
        </w:rPr>
        <w:t>–</w:t>
      </w:r>
      <w:r w:rsidRPr="00284673">
        <w:rPr>
          <w:rFonts w:asciiTheme="minorHAnsi" w:hAnsiTheme="minorHAnsi" w:cstheme="minorHAnsi"/>
          <w:color w:val="000000"/>
          <w:sz w:val="24"/>
          <w:szCs w:val="24"/>
        </w:rPr>
        <w:t xml:space="preserve"> Avaliará se </w:t>
      </w:r>
      <w:proofErr w:type="spellStart"/>
      <w:r w:rsidRPr="00284673">
        <w:rPr>
          <w:rFonts w:asciiTheme="minorHAnsi" w:hAnsiTheme="minorHAnsi" w:cstheme="minorHAnsi"/>
          <w:color w:val="000000"/>
          <w:sz w:val="24"/>
          <w:szCs w:val="24"/>
        </w:rPr>
        <w:t>anticoagulação</w:t>
      </w:r>
      <w:proofErr w:type="spellEnd"/>
      <w:r w:rsidRPr="00284673">
        <w:rPr>
          <w:rFonts w:asciiTheme="minorHAnsi" w:hAnsiTheme="minorHAnsi" w:cstheme="minorHAnsi"/>
          <w:color w:val="000000"/>
          <w:sz w:val="24"/>
          <w:szCs w:val="24"/>
        </w:rPr>
        <w:t xml:space="preserve"> com </w:t>
      </w:r>
      <w:proofErr w:type="spellStart"/>
      <w:r w:rsidRPr="00284673">
        <w:rPr>
          <w:rFonts w:asciiTheme="minorHAnsi" w:hAnsiTheme="minorHAnsi" w:cstheme="minorHAnsi"/>
          <w:color w:val="000000"/>
          <w:sz w:val="24"/>
          <w:szCs w:val="24"/>
        </w:rPr>
        <w:t>rivaroxabana</w:t>
      </w:r>
      <w:proofErr w:type="spellEnd"/>
      <w:r w:rsidRPr="00284673">
        <w:rPr>
          <w:rFonts w:asciiTheme="minorHAnsi" w:hAnsiTheme="minorHAnsi" w:cstheme="minorHAnsi"/>
          <w:color w:val="000000"/>
          <w:sz w:val="24"/>
          <w:szCs w:val="24"/>
        </w:rPr>
        <w:t xml:space="preserve"> previne agravamento da doença com necessidade de hospitalização em pacientes não-hospitalizados com formas leves da COVID-19. Previsão de início de inclusão em </w:t>
      </w:r>
      <w:proofErr w:type="gramStart"/>
      <w:r w:rsidRPr="00284673">
        <w:rPr>
          <w:rFonts w:asciiTheme="minorHAnsi" w:hAnsiTheme="minorHAnsi" w:cstheme="minorHAnsi"/>
          <w:color w:val="000000"/>
          <w:sz w:val="24"/>
          <w:szCs w:val="24"/>
        </w:rPr>
        <w:t>Agosto</w:t>
      </w:r>
      <w:proofErr w:type="gramEnd"/>
      <w:r w:rsidRPr="00284673">
        <w:rPr>
          <w:rFonts w:asciiTheme="minorHAnsi" w:hAnsiTheme="minorHAnsi" w:cstheme="minorHAnsi"/>
          <w:color w:val="000000"/>
          <w:sz w:val="24"/>
          <w:szCs w:val="24"/>
        </w:rPr>
        <w:t>/2020 (1.000 pacientes).</w:t>
      </w:r>
    </w:p>
    <w:p w14:paraId="6919DBEA" w14:textId="77777777" w:rsidR="00284673" w:rsidRPr="00C634B1" w:rsidRDefault="00284673" w:rsidP="00284673">
      <w:pPr>
        <w:rPr>
          <w:rFonts w:cstheme="minorHAnsi"/>
          <w:color w:val="000000"/>
          <w:lang w:val="pt-BR"/>
        </w:rPr>
      </w:pPr>
    </w:p>
    <w:p w14:paraId="0CBBBEF4" w14:textId="36BA3E90" w:rsidR="006B3CA4" w:rsidRPr="00940CAF" w:rsidRDefault="00284673" w:rsidP="00C561D2">
      <w:pPr>
        <w:pStyle w:val="PargrafodaLista"/>
        <w:numPr>
          <w:ilvl w:val="0"/>
          <w:numId w:val="1"/>
        </w:numPr>
        <w:spacing w:line="300" w:lineRule="atLeast"/>
        <w:jc w:val="both"/>
        <w:textAlignment w:val="baseline"/>
        <w:rPr>
          <w:color w:val="000000" w:themeColor="text1"/>
          <w:sz w:val="24"/>
          <w:szCs w:val="24"/>
        </w:rPr>
      </w:pPr>
      <w:r w:rsidRPr="00284673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Coalizão IX –</w:t>
      </w:r>
      <w:r w:rsidRPr="00284673">
        <w:rPr>
          <w:rFonts w:asciiTheme="minorHAnsi" w:hAnsiTheme="minorHAnsi" w:cstheme="minorHAnsi"/>
          <w:color w:val="000000"/>
          <w:sz w:val="24"/>
          <w:szCs w:val="24"/>
        </w:rPr>
        <w:t xml:space="preserve"> Avaliará se drogas antivirais isoladas e/ou em combinação entre si são efetivas para tratar casos de COVID-19 hospitalizados com doença moderada. Os antivirais a serem testados são </w:t>
      </w:r>
      <w:proofErr w:type="spellStart"/>
      <w:r w:rsidRPr="00284673">
        <w:rPr>
          <w:rFonts w:asciiTheme="minorHAnsi" w:hAnsiTheme="minorHAnsi" w:cstheme="minorHAnsi"/>
          <w:color w:val="000000"/>
          <w:sz w:val="24"/>
          <w:szCs w:val="24"/>
        </w:rPr>
        <w:t>atazanavir</w:t>
      </w:r>
      <w:proofErr w:type="spellEnd"/>
      <w:r w:rsidRPr="0028467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284673">
        <w:rPr>
          <w:rFonts w:asciiTheme="minorHAnsi" w:hAnsiTheme="minorHAnsi" w:cstheme="minorHAnsi"/>
          <w:color w:val="000000"/>
          <w:sz w:val="24"/>
          <w:szCs w:val="24"/>
        </w:rPr>
        <w:t>daclatasvir</w:t>
      </w:r>
      <w:proofErr w:type="spellEnd"/>
      <w:r w:rsidRPr="00284673">
        <w:rPr>
          <w:rFonts w:asciiTheme="minorHAnsi" w:hAnsiTheme="minorHAnsi" w:cstheme="minorHAnsi"/>
          <w:color w:val="000000"/>
          <w:sz w:val="24"/>
          <w:szCs w:val="24"/>
        </w:rPr>
        <w:t xml:space="preserve"> e </w:t>
      </w:r>
      <w:proofErr w:type="spellStart"/>
      <w:r w:rsidRPr="00284673">
        <w:rPr>
          <w:rFonts w:asciiTheme="minorHAnsi" w:hAnsiTheme="minorHAnsi" w:cstheme="minorHAnsi"/>
          <w:color w:val="000000"/>
          <w:sz w:val="24"/>
          <w:szCs w:val="24"/>
        </w:rPr>
        <w:t>daclatasvir</w:t>
      </w:r>
      <w:proofErr w:type="spellEnd"/>
      <w:r w:rsidRPr="00284673">
        <w:rPr>
          <w:rFonts w:asciiTheme="minorHAnsi" w:hAnsiTheme="minorHAnsi" w:cstheme="minorHAnsi"/>
          <w:color w:val="000000"/>
          <w:sz w:val="24"/>
          <w:szCs w:val="24"/>
        </w:rPr>
        <w:t xml:space="preserve"> associados a </w:t>
      </w:r>
      <w:proofErr w:type="spellStart"/>
      <w:r w:rsidRPr="00284673">
        <w:rPr>
          <w:rFonts w:asciiTheme="minorHAnsi" w:hAnsiTheme="minorHAnsi" w:cstheme="minorHAnsi"/>
          <w:color w:val="000000"/>
          <w:sz w:val="24"/>
          <w:szCs w:val="24"/>
        </w:rPr>
        <w:t>sofosbuvir</w:t>
      </w:r>
      <w:proofErr w:type="spellEnd"/>
      <w:r w:rsidRPr="00284673">
        <w:rPr>
          <w:rFonts w:asciiTheme="minorHAnsi" w:hAnsiTheme="minorHAnsi" w:cstheme="minorHAnsi"/>
          <w:color w:val="000000"/>
          <w:sz w:val="24"/>
          <w:szCs w:val="24"/>
        </w:rPr>
        <w:t>. Previsão de início na primeira quinzena de agosto.</w:t>
      </w:r>
      <w:bookmarkEnd w:id="1"/>
    </w:p>
    <w:p w14:paraId="57156324" w14:textId="77777777" w:rsidR="00940CAF" w:rsidRPr="00940CAF" w:rsidRDefault="00940CAF" w:rsidP="00940CAF">
      <w:pPr>
        <w:pStyle w:val="PargrafodaLista"/>
        <w:rPr>
          <w:color w:val="000000" w:themeColor="text1"/>
          <w:sz w:val="24"/>
          <w:szCs w:val="24"/>
        </w:rPr>
      </w:pPr>
    </w:p>
    <w:p w14:paraId="21FEEFBC" w14:textId="68C05C6D" w:rsidR="00940CAF" w:rsidRDefault="00940CAF" w:rsidP="00940CAF">
      <w:pPr>
        <w:spacing w:line="300" w:lineRule="atLeast"/>
        <w:jc w:val="both"/>
        <w:textAlignment w:val="baseline"/>
      </w:pPr>
    </w:p>
    <w:p w14:paraId="36A6B045" w14:textId="54E8B267" w:rsidR="00940CAF" w:rsidRDefault="00940CAF" w:rsidP="00940CAF">
      <w:pPr>
        <w:spacing w:line="300" w:lineRule="atLeast"/>
        <w:jc w:val="both"/>
        <w:textAlignment w:val="baseline"/>
        <w:rPr>
          <w:color w:val="000000" w:themeColor="text1"/>
        </w:rPr>
      </w:pPr>
    </w:p>
    <w:p w14:paraId="6AD56235" w14:textId="77777777" w:rsidR="00940CAF" w:rsidRPr="00940CAF" w:rsidRDefault="00940CAF" w:rsidP="00940CAF">
      <w:pPr>
        <w:jc w:val="both"/>
        <w:rPr>
          <w:b/>
          <w:bCs/>
          <w:sz w:val="28"/>
          <w:szCs w:val="28"/>
        </w:rPr>
      </w:pPr>
      <w:proofErr w:type="spellStart"/>
      <w:r w:rsidRPr="00940CAF">
        <w:rPr>
          <w:b/>
          <w:bCs/>
          <w:sz w:val="28"/>
          <w:szCs w:val="28"/>
        </w:rPr>
        <w:t>Contatos</w:t>
      </w:r>
      <w:proofErr w:type="spellEnd"/>
      <w:r w:rsidRPr="00940CAF">
        <w:rPr>
          <w:b/>
          <w:bCs/>
          <w:sz w:val="28"/>
          <w:szCs w:val="28"/>
        </w:rPr>
        <w:t xml:space="preserve"> de </w:t>
      </w:r>
      <w:proofErr w:type="spellStart"/>
      <w:r w:rsidRPr="00940CAF">
        <w:rPr>
          <w:b/>
          <w:bCs/>
          <w:sz w:val="28"/>
          <w:szCs w:val="28"/>
        </w:rPr>
        <w:t>imprensa</w:t>
      </w:r>
      <w:proofErr w:type="spellEnd"/>
    </w:p>
    <w:p w14:paraId="17257C79" w14:textId="77777777" w:rsidR="00940CAF" w:rsidRPr="00967C18" w:rsidRDefault="00940CAF" w:rsidP="00940CAF">
      <w:pPr>
        <w:jc w:val="both"/>
        <w:rPr>
          <w:sz w:val="22"/>
          <w:szCs w:val="22"/>
        </w:rPr>
      </w:pPr>
    </w:p>
    <w:p w14:paraId="1424F31E" w14:textId="77777777" w:rsidR="00940CAF" w:rsidRPr="00967C18" w:rsidRDefault="00940CAF" w:rsidP="00940CAF">
      <w:pPr>
        <w:pStyle w:val="PargrafodaLista"/>
        <w:numPr>
          <w:ilvl w:val="0"/>
          <w:numId w:val="4"/>
        </w:numPr>
        <w:jc w:val="both"/>
        <w:rPr>
          <w:b/>
          <w:bCs/>
        </w:rPr>
      </w:pPr>
      <w:r w:rsidRPr="00967C18">
        <w:rPr>
          <w:b/>
          <w:bCs/>
        </w:rPr>
        <w:t>BP - A Beneficência Portuguesa de São Paulo</w:t>
      </w:r>
    </w:p>
    <w:p w14:paraId="688F9279" w14:textId="6E1F642E" w:rsidR="00940CAF" w:rsidRPr="00967C18" w:rsidRDefault="00940CAF" w:rsidP="00940CAF">
      <w:pPr>
        <w:jc w:val="both"/>
        <w:rPr>
          <w:sz w:val="22"/>
          <w:szCs w:val="22"/>
          <w:lang w:val="pt-BR"/>
        </w:rPr>
      </w:pPr>
      <w:r w:rsidRPr="00967C18">
        <w:rPr>
          <w:sz w:val="22"/>
          <w:szCs w:val="22"/>
          <w:lang w:val="pt-BR"/>
        </w:rPr>
        <w:t xml:space="preserve">Débora Rodrigues - </w:t>
      </w:r>
      <w:hyperlink r:id="rId7" w:history="1">
        <w:r w:rsidRPr="00967C18">
          <w:rPr>
            <w:rStyle w:val="Hyperlink"/>
            <w:sz w:val="22"/>
            <w:szCs w:val="22"/>
            <w:lang w:val="pt-BR"/>
          </w:rPr>
          <w:t>drodrigues@llorenteycuenca.com</w:t>
        </w:r>
      </w:hyperlink>
      <w:r w:rsidRPr="00967C18">
        <w:rPr>
          <w:sz w:val="22"/>
          <w:szCs w:val="22"/>
          <w:lang w:val="pt-BR"/>
        </w:rPr>
        <w:t xml:space="preserve"> | (11) 93043-7596</w:t>
      </w:r>
    </w:p>
    <w:p w14:paraId="66F31E38" w14:textId="1A13D2B9" w:rsidR="00940CAF" w:rsidRPr="00967C18" w:rsidRDefault="00940CAF" w:rsidP="00940CAF">
      <w:pPr>
        <w:jc w:val="both"/>
        <w:rPr>
          <w:sz w:val="22"/>
          <w:szCs w:val="22"/>
          <w:lang w:val="pt-BR"/>
        </w:rPr>
      </w:pPr>
      <w:r w:rsidRPr="00967C18">
        <w:rPr>
          <w:sz w:val="22"/>
          <w:szCs w:val="22"/>
          <w:lang w:val="pt-BR"/>
        </w:rPr>
        <w:t xml:space="preserve">Bruna Sales - </w:t>
      </w:r>
      <w:hyperlink r:id="rId8" w:history="1">
        <w:r w:rsidRPr="00967C18">
          <w:rPr>
            <w:rStyle w:val="Hyperlink"/>
            <w:sz w:val="22"/>
            <w:szCs w:val="22"/>
            <w:lang w:val="pt-BR"/>
          </w:rPr>
          <w:t>bsales@llorenteycuenca.com</w:t>
        </w:r>
      </w:hyperlink>
      <w:r w:rsidRPr="00967C18">
        <w:rPr>
          <w:sz w:val="22"/>
          <w:szCs w:val="22"/>
          <w:lang w:val="pt-BR"/>
        </w:rPr>
        <w:t xml:space="preserve"> | (11) 94836-6956</w:t>
      </w:r>
    </w:p>
    <w:p w14:paraId="17DB4AA0" w14:textId="74CC7A2E" w:rsidR="00940CAF" w:rsidRPr="00967C18" w:rsidRDefault="00940CAF" w:rsidP="00940CAF">
      <w:pPr>
        <w:jc w:val="both"/>
        <w:rPr>
          <w:sz w:val="22"/>
          <w:szCs w:val="22"/>
          <w:lang w:val="pt-BR"/>
        </w:rPr>
      </w:pPr>
      <w:proofErr w:type="spellStart"/>
      <w:r w:rsidRPr="00967C18">
        <w:rPr>
          <w:sz w:val="22"/>
          <w:szCs w:val="22"/>
          <w:lang w:val="pt-BR"/>
        </w:rPr>
        <w:t>Aryane</w:t>
      </w:r>
      <w:proofErr w:type="spellEnd"/>
      <w:r w:rsidRPr="00967C18">
        <w:rPr>
          <w:sz w:val="22"/>
          <w:szCs w:val="22"/>
          <w:lang w:val="pt-BR"/>
        </w:rPr>
        <w:t xml:space="preserve"> Costa - </w:t>
      </w:r>
      <w:hyperlink r:id="rId9" w:history="1">
        <w:r w:rsidRPr="00967C18">
          <w:rPr>
            <w:rStyle w:val="Hyperlink"/>
            <w:sz w:val="22"/>
            <w:szCs w:val="22"/>
            <w:lang w:val="pt-BR"/>
          </w:rPr>
          <w:t>acosta@llorenteycuenca.com</w:t>
        </w:r>
      </w:hyperlink>
      <w:r w:rsidRPr="00967C18">
        <w:rPr>
          <w:sz w:val="22"/>
          <w:szCs w:val="22"/>
          <w:lang w:val="pt-BR"/>
        </w:rPr>
        <w:t xml:space="preserve"> | (11) 96634-9288</w:t>
      </w:r>
    </w:p>
    <w:p w14:paraId="52CA8E67" w14:textId="7764B923" w:rsidR="00940CAF" w:rsidRPr="00967C18" w:rsidRDefault="00940CAF" w:rsidP="00940CAF">
      <w:pPr>
        <w:jc w:val="both"/>
        <w:rPr>
          <w:sz w:val="22"/>
          <w:szCs w:val="22"/>
          <w:lang w:val="pt-BR"/>
        </w:rPr>
      </w:pPr>
      <w:r w:rsidRPr="00967C18">
        <w:rPr>
          <w:sz w:val="22"/>
          <w:szCs w:val="22"/>
          <w:lang w:val="pt-BR"/>
        </w:rPr>
        <w:t xml:space="preserve">Mariana </w:t>
      </w:r>
      <w:proofErr w:type="spellStart"/>
      <w:r w:rsidRPr="00967C18">
        <w:rPr>
          <w:sz w:val="22"/>
          <w:szCs w:val="22"/>
          <w:lang w:val="pt-BR"/>
        </w:rPr>
        <w:t>Paker</w:t>
      </w:r>
      <w:proofErr w:type="spellEnd"/>
      <w:r w:rsidRPr="00967C18">
        <w:rPr>
          <w:sz w:val="22"/>
          <w:szCs w:val="22"/>
          <w:lang w:val="pt-BR"/>
        </w:rPr>
        <w:t xml:space="preserve"> - </w:t>
      </w:r>
      <w:hyperlink r:id="rId10" w:history="1">
        <w:r w:rsidRPr="00967C18">
          <w:rPr>
            <w:rStyle w:val="Hyperlink"/>
            <w:sz w:val="22"/>
            <w:szCs w:val="22"/>
            <w:lang w:val="pt-BR"/>
          </w:rPr>
          <w:t>mpaker@llorenteycuenca.com</w:t>
        </w:r>
      </w:hyperlink>
      <w:r w:rsidRPr="00967C18">
        <w:rPr>
          <w:sz w:val="22"/>
          <w:szCs w:val="22"/>
          <w:lang w:val="pt-BR"/>
        </w:rPr>
        <w:t xml:space="preserve"> | (11) 95306-5204</w:t>
      </w:r>
    </w:p>
    <w:p w14:paraId="3FC5DAB0" w14:textId="77777777" w:rsidR="00940CAF" w:rsidRPr="00967C18" w:rsidRDefault="00940CAF" w:rsidP="00940CAF">
      <w:pPr>
        <w:jc w:val="both"/>
        <w:rPr>
          <w:sz w:val="22"/>
          <w:szCs w:val="22"/>
          <w:lang w:val="pt-BR"/>
        </w:rPr>
      </w:pPr>
      <w:r w:rsidRPr="00967C18">
        <w:rPr>
          <w:sz w:val="22"/>
          <w:szCs w:val="22"/>
          <w:lang w:val="pt-BR"/>
        </w:rPr>
        <w:t xml:space="preserve">Geral - </w:t>
      </w:r>
      <w:hyperlink r:id="rId11" w:history="1">
        <w:r w:rsidRPr="00967C18">
          <w:rPr>
            <w:rStyle w:val="Hyperlink"/>
            <w:sz w:val="22"/>
            <w:szCs w:val="22"/>
            <w:lang w:val="pt-BR"/>
          </w:rPr>
          <w:t>imprensa@bp.org.br</w:t>
        </w:r>
      </w:hyperlink>
      <w:r w:rsidRPr="00967C18">
        <w:rPr>
          <w:sz w:val="22"/>
          <w:szCs w:val="22"/>
          <w:lang w:val="pt-BR"/>
        </w:rPr>
        <w:t xml:space="preserve"> | (11) 97371-1721</w:t>
      </w:r>
    </w:p>
    <w:p w14:paraId="2463608A" w14:textId="77777777" w:rsidR="00940CAF" w:rsidRPr="00967C18" w:rsidRDefault="00940CAF" w:rsidP="00940CAF">
      <w:pPr>
        <w:jc w:val="both"/>
        <w:rPr>
          <w:sz w:val="22"/>
          <w:szCs w:val="22"/>
          <w:lang w:val="pt-BR"/>
        </w:rPr>
      </w:pPr>
    </w:p>
    <w:p w14:paraId="137B565E" w14:textId="77777777" w:rsidR="00940CAF" w:rsidRPr="00967C18" w:rsidRDefault="00940CAF" w:rsidP="00940CAF">
      <w:pPr>
        <w:jc w:val="both"/>
        <w:rPr>
          <w:sz w:val="22"/>
          <w:szCs w:val="22"/>
          <w:lang w:val="pt-BR"/>
        </w:rPr>
      </w:pPr>
    </w:p>
    <w:p w14:paraId="7DAD0B84" w14:textId="77777777" w:rsidR="00940CAF" w:rsidRPr="00967C18" w:rsidRDefault="00940CAF" w:rsidP="00940CAF">
      <w:pPr>
        <w:pStyle w:val="PargrafodaLista"/>
        <w:numPr>
          <w:ilvl w:val="0"/>
          <w:numId w:val="3"/>
        </w:numPr>
        <w:jc w:val="both"/>
        <w:rPr>
          <w:b/>
          <w:bCs/>
          <w:lang w:val="en-US"/>
        </w:rPr>
      </w:pPr>
      <w:r w:rsidRPr="00967C18">
        <w:rPr>
          <w:b/>
          <w:bCs/>
          <w:lang w:val="en-US"/>
        </w:rPr>
        <w:t>Brazilian Clinical Research Institute (BCRI)</w:t>
      </w:r>
    </w:p>
    <w:p w14:paraId="729FD012" w14:textId="77777777" w:rsidR="00940CAF" w:rsidRPr="00967C18" w:rsidRDefault="00940CAF" w:rsidP="00940CAF">
      <w:pPr>
        <w:jc w:val="both"/>
        <w:rPr>
          <w:sz w:val="22"/>
          <w:szCs w:val="22"/>
        </w:rPr>
      </w:pPr>
      <w:r w:rsidRPr="00967C18">
        <w:rPr>
          <w:sz w:val="22"/>
          <w:szCs w:val="22"/>
        </w:rPr>
        <w:t>Fatima Santos - (11) 98999-0042</w:t>
      </w:r>
    </w:p>
    <w:p w14:paraId="77FE2BF6" w14:textId="77777777" w:rsidR="00940CAF" w:rsidRPr="00967C18" w:rsidRDefault="00940CAF" w:rsidP="00940CAF">
      <w:pPr>
        <w:pStyle w:val="PargrafodaLista"/>
        <w:jc w:val="both"/>
        <w:rPr>
          <w:b/>
          <w:bCs/>
        </w:rPr>
      </w:pPr>
    </w:p>
    <w:p w14:paraId="6CE96C15" w14:textId="77777777" w:rsidR="00940CAF" w:rsidRPr="00967C18" w:rsidRDefault="00940CAF" w:rsidP="00940CAF">
      <w:pPr>
        <w:pStyle w:val="PargrafodaLista"/>
        <w:numPr>
          <w:ilvl w:val="0"/>
          <w:numId w:val="3"/>
        </w:numPr>
        <w:jc w:val="both"/>
        <w:rPr>
          <w:b/>
          <w:bCs/>
        </w:rPr>
      </w:pPr>
      <w:r w:rsidRPr="00967C18">
        <w:rPr>
          <w:b/>
          <w:bCs/>
        </w:rPr>
        <w:t>Hospital Alemão Oswaldo Cruz</w:t>
      </w:r>
    </w:p>
    <w:p w14:paraId="51E45B3D" w14:textId="77777777" w:rsidR="00940CAF" w:rsidRPr="00967C18" w:rsidRDefault="00940CAF" w:rsidP="00940CAF">
      <w:pPr>
        <w:jc w:val="both"/>
        <w:rPr>
          <w:sz w:val="22"/>
          <w:szCs w:val="22"/>
          <w:lang w:val="pt-BR"/>
        </w:rPr>
      </w:pPr>
      <w:r w:rsidRPr="00967C18">
        <w:rPr>
          <w:sz w:val="22"/>
          <w:szCs w:val="22"/>
          <w:lang w:val="pt-BR"/>
        </w:rPr>
        <w:t xml:space="preserve">Claudio Sá - </w:t>
      </w:r>
      <w:hyperlink r:id="rId12" w:history="1">
        <w:r w:rsidRPr="00967C18">
          <w:rPr>
            <w:rStyle w:val="Hyperlink"/>
            <w:sz w:val="22"/>
            <w:szCs w:val="22"/>
            <w:lang w:val="pt-BR"/>
          </w:rPr>
          <w:t>claudio.sa@conteudonet.com</w:t>
        </w:r>
      </w:hyperlink>
      <w:r w:rsidRPr="00967C18">
        <w:rPr>
          <w:sz w:val="22"/>
          <w:szCs w:val="22"/>
          <w:lang w:val="pt-BR"/>
        </w:rPr>
        <w:t xml:space="preserve"> | (11) 99945-7005</w:t>
      </w:r>
    </w:p>
    <w:p w14:paraId="408D0582" w14:textId="77777777" w:rsidR="00940CAF" w:rsidRPr="00967C18" w:rsidRDefault="00940CAF" w:rsidP="00940CAF">
      <w:pPr>
        <w:jc w:val="both"/>
        <w:rPr>
          <w:sz w:val="22"/>
          <w:szCs w:val="22"/>
          <w:lang w:val="pt-BR"/>
        </w:rPr>
      </w:pPr>
      <w:r w:rsidRPr="00967C18">
        <w:rPr>
          <w:sz w:val="22"/>
          <w:szCs w:val="22"/>
          <w:lang w:val="pt-BR"/>
        </w:rPr>
        <w:t xml:space="preserve">Maria Teresa Moraes - </w:t>
      </w:r>
      <w:hyperlink r:id="rId13" w:history="1">
        <w:r w:rsidRPr="00967C18">
          <w:rPr>
            <w:rStyle w:val="Hyperlink"/>
            <w:sz w:val="22"/>
            <w:szCs w:val="22"/>
            <w:lang w:val="pt-BR"/>
          </w:rPr>
          <w:t>mariateresa.moraes@conteudonet.com</w:t>
        </w:r>
      </w:hyperlink>
      <w:r w:rsidRPr="00967C18">
        <w:rPr>
          <w:sz w:val="22"/>
          <w:szCs w:val="22"/>
          <w:lang w:val="pt-BR"/>
        </w:rPr>
        <w:t xml:space="preserve"> | (11) 99575-5872</w:t>
      </w:r>
    </w:p>
    <w:p w14:paraId="7D19179A" w14:textId="77777777" w:rsidR="00940CAF" w:rsidRPr="00967C18" w:rsidRDefault="00940CAF" w:rsidP="00940CAF">
      <w:pPr>
        <w:jc w:val="both"/>
        <w:rPr>
          <w:sz w:val="22"/>
          <w:szCs w:val="22"/>
          <w:lang w:val="pt-BR"/>
        </w:rPr>
      </w:pPr>
    </w:p>
    <w:p w14:paraId="46AB64CF" w14:textId="77777777" w:rsidR="00940CAF" w:rsidRPr="00967C18" w:rsidRDefault="00940CAF" w:rsidP="00940CAF">
      <w:pPr>
        <w:pStyle w:val="PargrafodaLista"/>
        <w:numPr>
          <w:ilvl w:val="0"/>
          <w:numId w:val="3"/>
        </w:numPr>
        <w:jc w:val="both"/>
        <w:rPr>
          <w:b/>
          <w:bCs/>
        </w:rPr>
      </w:pPr>
      <w:proofErr w:type="spellStart"/>
      <w:r w:rsidRPr="00967C18">
        <w:rPr>
          <w:b/>
          <w:bCs/>
        </w:rPr>
        <w:t>HCor</w:t>
      </w:r>
      <w:proofErr w:type="spellEnd"/>
    </w:p>
    <w:p w14:paraId="38472866" w14:textId="77777777" w:rsidR="00940CAF" w:rsidRPr="00967C18" w:rsidRDefault="00940CAF" w:rsidP="00940CAF">
      <w:pPr>
        <w:jc w:val="both"/>
        <w:rPr>
          <w:sz w:val="22"/>
          <w:szCs w:val="22"/>
        </w:rPr>
      </w:pPr>
      <w:r w:rsidRPr="00967C18">
        <w:rPr>
          <w:sz w:val="22"/>
          <w:szCs w:val="22"/>
        </w:rPr>
        <w:t xml:space="preserve">Ivan Verona - </w:t>
      </w:r>
      <w:hyperlink r:id="rId14" w:history="1">
        <w:r w:rsidRPr="00967C18">
          <w:rPr>
            <w:rStyle w:val="Hyperlink"/>
            <w:sz w:val="22"/>
            <w:szCs w:val="22"/>
          </w:rPr>
          <w:t>ivan.verona@maquinacohnwolfe.com</w:t>
        </w:r>
      </w:hyperlink>
      <w:r w:rsidRPr="00967C18">
        <w:rPr>
          <w:sz w:val="22"/>
          <w:szCs w:val="22"/>
        </w:rPr>
        <w:t xml:space="preserve"> | (11) 98837-1111</w:t>
      </w:r>
    </w:p>
    <w:p w14:paraId="1CE5AAAC" w14:textId="77777777" w:rsidR="00940CAF" w:rsidRPr="00967C18" w:rsidRDefault="00940CAF" w:rsidP="00940CAF">
      <w:pPr>
        <w:jc w:val="both"/>
        <w:rPr>
          <w:sz w:val="22"/>
          <w:szCs w:val="22"/>
          <w:lang w:val="pt-BR"/>
        </w:rPr>
      </w:pPr>
      <w:r w:rsidRPr="00967C18">
        <w:rPr>
          <w:sz w:val="22"/>
          <w:szCs w:val="22"/>
          <w:lang w:val="pt-BR"/>
        </w:rPr>
        <w:t xml:space="preserve">Luna </w:t>
      </w:r>
      <w:proofErr w:type="spellStart"/>
      <w:r w:rsidRPr="00967C18">
        <w:rPr>
          <w:sz w:val="22"/>
          <w:szCs w:val="22"/>
          <w:lang w:val="pt-BR"/>
        </w:rPr>
        <w:t>Aghata</w:t>
      </w:r>
      <w:proofErr w:type="spellEnd"/>
      <w:r w:rsidRPr="00967C18">
        <w:rPr>
          <w:sz w:val="22"/>
          <w:szCs w:val="22"/>
          <w:lang w:val="pt-BR"/>
        </w:rPr>
        <w:t xml:space="preserve"> - </w:t>
      </w:r>
      <w:hyperlink r:id="rId15" w:history="1">
        <w:r w:rsidRPr="00967C18">
          <w:rPr>
            <w:rStyle w:val="Hyperlink"/>
            <w:sz w:val="22"/>
            <w:szCs w:val="22"/>
            <w:lang w:val="pt-BR"/>
          </w:rPr>
          <w:t>luna.aghata@maquinacohnwolfe.com</w:t>
        </w:r>
      </w:hyperlink>
      <w:r w:rsidRPr="00967C18">
        <w:rPr>
          <w:sz w:val="22"/>
          <w:szCs w:val="22"/>
          <w:lang w:val="pt-BR"/>
        </w:rPr>
        <w:t xml:space="preserve"> | (11) 99290-7988</w:t>
      </w:r>
    </w:p>
    <w:p w14:paraId="31D14541" w14:textId="77777777" w:rsidR="00940CAF" w:rsidRPr="00967C18" w:rsidRDefault="00940CAF" w:rsidP="00940CAF">
      <w:pPr>
        <w:jc w:val="both"/>
        <w:rPr>
          <w:sz w:val="22"/>
          <w:szCs w:val="22"/>
          <w:lang w:val="pt-BR"/>
        </w:rPr>
      </w:pPr>
    </w:p>
    <w:p w14:paraId="445A8E01" w14:textId="77777777" w:rsidR="00940CAF" w:rsidRPr="00967C18" w:rsidRDefault="00940CAF" w:rsidP="00940CAF">
      <w:pPr>
        <w:pStyle w:val="PargrafodaLista"/>
        <w:numPr>
          <w:ilvl w:val="0"/>
          <w:numId w:val="3"/>
        </w:numPr>
        <w:jc w:val="both"/>
        <w:rPr>
          <w:b/>
          <w:bCs/>
        </w:rPr>
      </w:pPr>
      <w:r w:rsidRPr="00967C18">
        <w:rPr>
          <w:b/>
          <w:bCs/>
        </w:rPr>
        <w:t>Hospital Israelita Albert Einstein</w:t>
      </w:r>
    </w:p>
    <w:p w14:paraId="61068976" w14:textId="77777777" w:rsidR="00940CAF" w:rsidRPr="00967C18" w:rsidRDefault="00940CAF" w:rsidP="00940CAF">
      <w:pPr>
        <w:jc w:val="both"/>
        <w:rPr>
          <w:sz w:val="22"/>
          <w:szCs w:val="22"/>
          <w:lang w:val="pt-BR"/>
        </w:rPr>
      </w:pPr>
      <w:r w:rsidRPr="00967C18">
        <w:rPr>
          <w:sz w:val="22"/>
          <w:szCs w:val="22"/>
          <w:lang w:val="pt-BR"/>
        </w:rPr>
        <w:t xml:space="preserve">Plantão da assessoria - </w:t>
      </w:r>
      <w:hyperlink r:id="rId16" w:history="1">
        <w:r w:rsidRPr="00967C18">
          <w:rPr>
            <w:rStyle w:val="Hyperlink"/>
            <w:sz w:val="22"/>
            <w:szCs w:val="22"/>
            <w:lang w:val="pt-BR"/>
          </w:rPr>
          <w:t>imprensa@einstein.br</w:t>
        </w:r>
      </w:hyperlink>
      <w:r w:rsidRPr="00967C18">
        <w:rPr>
          <w:sz w:val="22"/>
          <w:szCs w:val="22"/>
          <w:lang w:val="pt-BR"/>
        </w:rPr>
        <w:t xml:space="preserve"> | (11) 99621-0631</w:t>
      </w:r>
    </w:p>
    <w:p w14:paraId="52D4708C" w14:textId="77777777" w:rsidR="00940CAF" w:rsidRPr="00967C18" w:rsidRDefault="00940CAF" w:rsidP="00940CAF">
      <w:pPr>
        <w:jc w:val="both"/>
        <w:rPr>
          <w:sz w:val="22"/>
          <w:szCs w:val="22"/>
          <w:lang w:val="pt-BR"/>
        </w:rPr>
      </w:pPr>
      <w:r w:rsidRPr="00967C18">
        <w:rPr>
          <w:sz w:val="22"/>
          <w:szCs w:val="22"/>
          <w:lang w:val="pt-BR"/>
        </w:rPr>
        <w:t xml:space="preserve">Cristiane Bomfim - </w:t>
      </w:r>
      <w:hyperlink r:id="rId17" w:history="1">
        <w:r w:rsidRPr="00967C18">
          <w:rPr>
            <w:rStyle w:val="Hyperlink"/>
            <w:sz w:val="22"/>
            <w:szCs w:val="22"/>
            <w:lang w:val="pt-BR"/>
          </w:rPr>
          <w:t>cbomfim@jeffreygroup.com</w:t>
        </w:r>
      </w:hyperlink>
      <w:r w:rsidRPr="00967C18">
        <w:rPr>
          <w:sz w:val="22"/>
          <w:szCs w:val="22"/>
          <w:lang w:val="pt-BR"/>
        </w:rPr>
        <w:t xml:space="preserve">   </w:t>
      </w:r>
    </w:p>
    <w:p w14:paraId="3AEE8E4A" w14:textId="77777777" w:rsidR="00940CAF" w:rsidRPr="00967C18" w:rsidRDefault="00940CAF" w:rsidP="00940CAF">
      <w:pPr>
        <w:jc w:val="both"/>
        <w:rPr>
          <w:sz w:val="22"/>
          <w:szCs w:val="22"/>
          <w:lang w:val="pt-BR"/>
        </w:rPr>
      </w:pPr>
      <w:r w:rsidRPr="00967C18">
        <w:rPr>
          <w:sz w:val="22"/>
          <w:szCs w:val="22"/>
          <w:lang w:val="pt-BR"/>
        </w:rPr>
        <w:t xml:space="preserve">Tiago Varella - </w:t>
      </w:r>
      <w:hyperlink r:id="rId18" w:history="1">
        <w:r w:rsidRPr="00967C18">
          <w:rPr>
            <w:rStyle w:val="Hyperlink"/>
            <w:sz w:val="22"/>
            <w:szCs w:val="22"/>
            <w:lang w:val="pt-BR"/>
          </w:rPr>
          <w:t>tvarella@jeffreygroup.com</w:t>
        </w:r>
      </w:hyperlink>
      <w:r w:rsidRPr="00967C18">
        <w:rPr>
          <w:sz w:val="22"/>
          <w:szCs w:val="22"/>
          <w:lang w:val="pt-BR"/>
        </w:rPr>
        <w:t xml:space="preserve">  </w:t>
      </w:r>
    </w:p>
    <w:p w14:paraId="6CD58825" w14:textId="77777777" w:rsidR="00940CAF" w:rsidRPr="00967C18" w:rsidRDefault="00940CAF" w:rsidP="00940CAF">
      <w:pPr>
        <w:jc w:val="both"/>
        <w:rPr>
          <w:sz w:val="22"/>
          <w:szCs w:val="22"/>
          <w:lang w:val="pt-BR"/>
        </w:rPr>
      </w:pPr>
      <w:r w:rsidRPr="00967C18">
        <w:rPr>
          <w:sz w:val="22"/>
          <w:szCs w:val="22"/>
          <w:lang w:val="pt-BR"/>
        </w:rPr>
        <w:t xml:space="preserve">Thaís Camargo - </w:t>
      </w:r>
      <w:hyperlink r:id="rId19" w:history="1">
        <w:r w:rsidRPr="00967C18">
          <w:rPr>
            <w:rStyle w:val="Hyperlink"/>
            <w:sz w:val="22"/>
            <w:szCs w:val="22"/>
            <w:lang w:val="pt-BR"/>
          </w:rPr>
          <w:t>tcamargo@jeffreygroup.com</w:t>
        </w:r>
      </w:hyperlink>
      <w:r w:rsidRPr="00967C18">
        <w:rPr>
          <w:sz w:val="22"/>
          <w:szCs w:val="22"/>
          <w:lang w:val="pt-BR"/>
        </w:rPr>
        <w:t xml:space="preserve"> </w:t>
      </w:r>
    </w:p>
    <w:p w14:paraId="56D4D66C" w14:textId="77777777" w:rsidR="00940CAF" w:rsidRPr="00967C18" w:rsidRDefault="00940CAF" w:rsidP="00940CAF">
      <w:pPr>
        <w:jc w:val="both"/>
        <w:rPr>
          <w:sz w:val="22"/>
          <w:szCs w:val="22"/>
          <w:lang w:val="pt-BR"/>
        </w:rPr>
      </w:pPr>
    </w:p>
    <w:p w14:paraId="3E32C520" w14:textId="77777777" w:rsidR="00940CAF" w:rsidRPr="00967C18" w:rsidRDefault="00940CAF" w:rsidP="00940CAF">
      <w:pPr>
        <w:pStyle w:val="PargrafodaLista"/>
        <w:numPr>
          <w:ilvl w:val="0"/>
          <w:numId w:val="3"/>
        </w:numPr>
        <w:jc w:val="both"/>
        <w:rPr>
          <w:b/>
          <w:bCs/>
        </w:rPr>
      </w:pPr>
      <w:r w:rsidRPr="00967C18">
        <w:rPr>
          <w:b/>
          <w:bCs/>
        </w:rPr>
        <w:t>Hospital Moinhos de Vento</w:t>
      </w:r>
    </w:p>
    <w:p w14:paraId="3CC138F0" w14:textId="77777777" w:rsidR="00940CAF" w:rsidRPr="00967C18" w:rsidRDefault="00940CAF" w:rsidP="00940CAF">
      <w:pPr>
        <w:jc w:val="both"/>
        <w:rPr>
          <w:sz w:val="22"/>
          <w:szCs w:val="22"/>
          <w:lang w:val="pt-BR"/>
        </w:rPr>
      </w:pPr>
      <w:r w:rsidRPr="00967C18">
        <w:rPr>
          <w:sz w:val="22"/>
          <w:szCs w:val="22"/>
          <w:lang w:val="pt-BR"/>
        </w:rPr>
        <w:t xml:space="preserve">Melina Fernandes - </w:t>
      </w:r>
      <w:hyperlink r:id="rId20" w:history="1">
        <w:r w:rsidRPr="00967C18">
          <w:rPr>
            <w:rStyle w:val="Hyperlink"/>
            <w:sz w:val="22"/>
            <w:szCs w:val="22"/>
            <w:lang w:val="pt-BR"/>
          </w:rPr>
          <w:t>melina@criterio.com.br</w:t>
        </w:r>
      </w:hyperlink>
      <w:r w:rsidRPr="00967C18">
        <w:rPr>
          <w:sz w:val="22"/>
          <w:szCs w:val="22"/>
          <w:lang w:val="pt-BR"/>
        </w:rPr>
        <w:t xml:space="preserve"> | (51) 99979-9219</w:t>
      </w:r>
    </w:p>
    <w:p w14:paraId="5BB220A2" w14:textId="77777777" w:rsidR="00940CAF" w:rsidRPr="00967C18" w:rsidRDefault="00940CAF" w:rsidP="00940CAF">
      <w:pPr>
        <w:pStyle w:val="PargrafodaLista"/>
        <w:jc w:val="both"/>
        <w:rPr>
          <w:b/>
          <w:bCs/>
        </w:rPr>
      </w:pPr>
    </w:p>
    <w:p w14:paraId="5B9AD1B3" w14:textId="77777777" w:rsidR="00940CAF" w:rsidRPr="00967C18" w:rsidRDefault="00940CAF" w:rsidP="00940CAF">
      <w:pPr>
        <w:pStyle w:val="PargrafodaLista"/>
        <w:numPr>
          <w:ilvl w:val="0"/>
          <w:numId w:val="3"/>
        </w:numPr>
        <w:jc w:val="both"/>
        <w:rPr>
          <w:b/>
          <w:bCs/>
        </w:rPr>
      </w:pPr>
      <w:r w:rsidRPr="00967C18">
        <w:rPr>
          <w:b/>
          <w:bCs/>
        </w:rPr>
        <w:t>Hospital Sírio-Libanês</w:t>
      </w:r>
    </w:p>
    <w:p w14:paraId="5D6B9A9D" w14:textId="77777777" w:rsidR="00940CAF" w:rsidRPr="00967C18" w:rsidRDefault="00940CAF" w:rsidP="00940CAF">
      <w:pPr>
        <w:jc w:val="both"/>
        <w:rPr>
          <w:sz w:val="22"/>
          <w:szCs w:val="22"/>
          <w:lang w:val="pt-BR"/>
        </w:rPr>
      </w:pPr>
      <w:r w:rsidRPr="00967C18">
        <w:rPr>
          <w:sz w:val="22"/>
          <w:szCs w:val="22"/>
          <w:lang w:val="pt-BR"/>
        </w:rPr>
        <w:t xml:space="preserve">Vanessa Rodrigues e Rose </w:t>
      </w:r>
      <w:proofErr w:type="spellStart"/>
      <w:r w:rsidRPr="00967C18">
        <w:rPr>
          <w:sz w:val="22"/>
          <w:szCs w:val="22"/>
          <w:lang w:val="pt-BR"/>
        </w:rPr>
        <w:t>Guirro</w:t>
      </w:r>
      <w:proofErr w:type="spellEnd"/>
      <w:r w:rsidRPr="00967C18">
        <w:rPr>
          <w:sz w:val="22"/>
          <w:szCs w:val="22"/>
          <w:lang w:val="pt-BR"/>
        </w:rPr>
        <w:t xml:space="preserve"> - </w:t>
      </w:r>
      <w:hyperlink r:id="rId21" w:history="1">
        <w:r w:rsidRPr="00967C18">
          <w:rPr>
            <w:rStyle w:val="Hyperlink"/>
            <w:sz w:val="22"/>
            <w:szCs w:val="22"/>
            <w:lang w:val="pt-BR"/>
          </w:rPr>
          <w:t>imprensa@hsl.org.br</w:t>
        </w:r>
      </w:hyperlink>
      <w:r w:rsidRPr="00967C18">
        <w:rPr>
          <w:sz w:val="22"/>
          <w:szCs w:val="22"/>
          <w:lang w:val="pt-BR"/>
        </w:rPr>
        <w:t xml:space="preserve"> | (11) 3394-4830 / (11) 3394-4819 </w:t>
      </w:r>
    </w:p>
    <w:p w14:paraId="04176A08" w14:textId="77777777" w:rsidR="00940CAF" w:rsidRPr="00967C18" w:rsidRDefault="00940CAF" w:rsidP="00940CAF">
      <w:pPr>
        <w:jc w:val="both"/>
        <w:rPr>
          <w:sz w:val="22"/>
          <w:szCs w:val="22"/>
          <w:lang w:val="pt-BR"/>
        </w:rPr>
      </w:pPr>
      <w:r w:rsidRPr="00967C18">
        <w:rPr>
          <w:sz w:val="22"/>
          <w:szCs w:val="22"/>
          <w:lang w:val="pt-BR"/>
        </w:rPr>
        <w:t>Plantão - (11) 97613-3816</w:t>
      </w:r>
    </w:p>
    <w:p w14:paraId="114B6517" w14:textId="77777777" w:rsidR="00940CAF" w:rsidRPr="00967C18" w:rsidRDefault="00940CAF" w:rsidP="00940CAF">
      <w:pPr>
        <w:jc w:val="both"/>
        <w:rPr>
          <w:sz w:val="22"/>
          <w:szCs w:val="22"/>
          <w:lang w:val="pt-BR"/>
        </w:rPr>
      </w:pPr>
      <w:r w:rsidRPr="00967C18">
        <w:rPr>
          <w:sz w:val="22"/>
          <w:szCs w:val="22"/>
          <w:lang w:val="pt-BR"/>
        </w:rPr>
        <w:t xml:space="preserve">Max Gonçalves - </w:t>
      </w:r>
      <w:hyperlink r:id="rId22" w:history="1">
        <w:r w:rsidRPr="00967C18">
          <w:rPr>
            <w:rStyle w:val="Hyperlink"/>
            <w:sz w:val="22"/>
            <w:szCs w:val="22"/>
            <w:lang w:val="pt-BR"/>
          </w:rPr>
          <w:t>max.goncalves@fsb.com.br</w:t>
        </w:r>
      </w:hyperlink>
      <w:r w:rsidRPr="00967C18">
        <w:rPr>
          <w:sz w:val="22"/>
          <w:szCs w:val="22"/>
          <w:lang w:val="pt-BR"/>
        </w:rPr>
        <w:t xml:space="preserve"> | (61) 3323-1072 / (61) 99261-6565</w:t>
      </w:r>
    </w:p>
    <w:p w14:paraId="1471CEF7" w14:textId="77777777" w:rsidR="00940CAF" w:rsidRPr="00967C18" w:rsidRDefault="00940CAF" w:rsidP="00940CAF">
      <w:pPr>
        <w:jc w:val="both"/>
        <w:rPr>
          <w:sz w:val="22"/>
          <w:szCs w:val="22"/>
          <w:lang w:val="pt-BR"/>
        </w:rPr>
      </w:pPr>
    </w:p>
    <w:p w14:paraId="6D1DA8A1" w14:textId="77777777" w:rsidR="00940CAF" w:rsidRPr="00967C18" w:rsidRDefault="00940CAF" w:rsidP="00940CAF">
      <w:pPr>
        <w:pStyle w:val="PargrafodaLista"/>
        <w:numPr>
          <w:ilvl w:val="0"/>
          <w:numId w:val="3"/>
        </w:numPr>
        <w:jc w:val="both"/>
      </w:pPr>
      <w:r w:rsidRPr="00967C18">
        <w:rPr>
          <w:b/>
          <w:bCs/>
        </w:rPr>
        <w:lastRenderedPageBreak/>
        <w:t>Rede Brasileira de Pesquisa em Terapia Intensiva (</w:t>
      </w:r>
      <w:proofErr w:type="spellStart"/>
      <w:r w:rsidRPr="00967C18">
        <w:rPr>
          <w:b/>
          <w:bCs/>
        </w:rPr>
        <w:t>BRICNet</w:t>
      </w:r>
      <w:proofErr w:type="spellEnd"/>
      <w:r w:rsidRPr="00967C18">
        <w:rPr>
          <w:b/>
          <w:bCs/>
        </w:rPr>
        <w:t>)</w:t>
      </w:r>
    </w:p>
    <w:p w14:paraId="25DB0C98" w14:textId="77777777" w:rsidR="00940CAF" w:rsidRPr="00967C18" w:rsidRDefault="00940CAF" w:rsidP="00940CAF">
      <w:pPr>
        <w:jc w:val="both"/>
        <w:rPr>
          <w:sz w:val="22"/>
          <w:szCs w:val="22"/>
        </w:rPr>
      </w:pPr>
      <w:proofErr w:type="spellStart"/>
      <w:r w:rsidRPr="00967C18">
        <w:rPr>
          <w:sz w:val="22"/>
          <w:szCs w:val="22"/>
        </w:rPr>
        <w:t>Flávia</w:t>
      </w:r>
      <w:proofErr w:type="spellEnd"/>
      <w:r w:rsidRPr="00967C18">
        <w:rPr>
          <w:sz w:val="22"/>
          <w:szCs w:val="22"/>
        </w:rPr>
        <w:t xml:space="preserve"> Machado - (11) 99655-2410</w:t>
      </w:r>
    </w:p>
    <w:p w14:paraId="7E10F008" w14:textId="77777777" w:rsidR="00940CAF" w:rsidRPr="00940CAF" w:rsidRDefault="00940CAF" w:rsidP="00940CAF">
      <w:pPr>
        <w:spacing w:line="300" w:lineRule="atLeast"/>
        <w:jc w:val="both"/>
        <w:textAlignment w:val="baseline"/>
        <w:rPr>
          <w:color w:val="000000" w:themeColor="text1"/>
        </w:rPr>
      </w:pPr>
    </w:p>
    <w:sectPr w:rsidR="00940CAF" w:rsidRPr="00940CAF" w:rsidSect="004F7C0A">
      <w:headerReference w:type="default" r:id="rId2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CD9E1" w14:textId="77777777" w:rsidR="00E23B0C" w:rsidRDefault="00E23B0C" w:rsidP="00953E8B">
      <w:r>
        <w:separator/>
      </w:r>
    </w:p>
  </w:endnote>
  <w:endnote w:type="continuationSeparator" w:id="0">
    <w:p w14:paraId="72A4ADF8" w14:textId="77777777" w:rsidR="00E23B0C" w:rsidRDefault="00E23B0C" w:rsidP="0095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D3813" w14:textId="77777777" w:rsidR="00E23B0C" w:rsidRDefault="00E23B0C" w:rsidP="00953E8B">
      <w:bookmarkStart w:id="0" w:name="_Hlk46394901"/>
      <w:bookmarkEnd w:id="0"/>
      <w:r>
        <w:separator/>
      </w:r>
    </w:p>
  </w:footnote>
  <w:footnote w:type="continuationSeparator" w:id="0">
    <w:p w14:paraId="674D3A97" w14:textId="77777777" w:rsidR="00E23B0C" w:rsidRDefault="00E23B0C" w:rsidP="0095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12B4" w14:textId="367B0B91" w:rsidR="00953E8B" w:rsidRDefault="00940CAF">
    <w:pPr>
      <w:pStyle w:val="Cabealho"/>
    </w:pPr>
    <w:r w:rsidRPr="00953E8B">
      <w:rPr>
        <w:noProof/>
        <w:lang w:val="pt-BR" w:eastAsia="pt-BR"/>
      </w:rPr>
      <w:drawing>
        <wp:anchor distT="0" distB="0" distL="114300" distR="114300" simplePos="0" relativeHeight="251668480" behindDoc="0" locked="0" layoutInCell="1" allowOverlap="1" wp14:anchorId="141F2692" wp14:editId="1BB36D21">
          <wp:simplePos x="0" y="0"/>
          <wp:positionH relativeFrom="column">
            <wp:posOffset>5353050</wp:posOffset>
          </wp:positionH>
          <wp:positionV relativeFrom="paragraph">
            <wp:posOffset>-11430</wp:posOffset>
          </wp:positionV>
          <wp:extent cx="673735" cy="264160"/>
          <wp:effectExtent l="0" t="0" r="0" b="2540"/>
          <wp:wrapSquare wrapText="bothSides"/>
          <wp:docPr id="48" name="Imagem 199" descr="Descrição: Descrição: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9" descr="Descrição: Descrição: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26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BB0">
      <w:rPr>
        <w:noProof/>
        <w:lang w:val="pt-BR" w:eastAsia="pt-BR"/>
      </w:rPr>
      <w:drawing>
        <wp:anchor distT="0" distB="0" distL="114300" distR="114300" simplePos="0" relativeHeight="251677696" behindDoc="0" locked="0" layoutInCell="1" allowOverlap="1" wp14:anchorId="62CDE84E" wp14:editId="74F25C72">
          <wp:simplePos x="0" y="0"/>
          <wp:positionH relativeFrom="column">
            <wp:posOffset>4705350</wp:posOffset>
          </wp:positionH>
          <wp:positionV relativeFrom="paragraph">
            <wp:posOffset>-20955</wp:posOffset>
          </wp:positionV>
          <wp:extent cx="561975" cy="268605"/>
          <wp:effectExtent l="0" t="0" r="9525" b="0"/>
          <wp:wrapSquare wrapText="bothSides"/>
          <wp:docPr id="5" name="Imagem 22" descr="A screenshot of a social media pos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82915A2-468E-A54D-8F15-BE7D62D9798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22">
                    <a:extLst>
                      <a:ext uri="{FF2B5EF4-FFF2-40B4-BE49-F238E27FC236}">
                        <a16:creationId xmlns:a16="http://schemas.microsoft.com/office/drawing/2014/main" id="{682915A2-468E-A54D-8F15-BE7D62D97981}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72" t="11676" r="72181" b="77335"/>
                  <a:stretch/>
                </pic:blipFill>
                <pic:spPr bwMode="auto">
                  <a:xfrm>
                    <a:off x="0" y="0"/>
                    <a:ext cx="561975" cy="268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76672" behindDoc="0" locked="0" layoutInCell="1" allowOverlap="1" wp14:anchorId="2D452862" wp14:editId="0251A7CD">
          <wp:simplePos x="0" y="0"/>
          <wp:positionH relativeFrom="column">
            <wp:posOffset>3838575</wp:posOffset>
          </wp:positionH>
          <wp:positionV relativeFrom="paragraph">
            <wp:posOffset>-49530</wp:posOffset>
          </wp:positionV>
          <wp:extent cx="781050" cy="337820"/>
          <wp:effectExtent l="0" t="0" r="0" b="508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0-07-23 at 11.03.06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3E8B">
      <w:rPr>
        <w:noProof/>
        <w:lang w:val="pt-BR" w:eastAsia="pt-BR"/>
      </w:rPr>
      <w:drawing>
        <wp:anchor distT="0" distB="0" distL="114300" distR="114300" simplePos="0" relativeHeight="251673600" behindDoc="0" locked="0" layoutInCell="1" allowOverlap="1" wp14:anchorId="0BC75752" wp14:editId="3F46F117">
          <wp:simplePos x="0" y="0"/>
          <wp:positionH relativeFrom="column">
            <wp:posOffset>2743200</wp:posOffset>
          </wp:positionH>
          <wp:positionV relativeFrom="paragraph">
            <wp:posOffset>-30480</wp:posOffset>
          </wp:positionV>
          <wp:extent cx="1157605" cy="336550"/>
          <wp:effectExtent l="0" t="0" r="0" b="0"/>
          <wp:wrapSquare wrapText="bothSides"/>
          <wp:docPr id="43" name="Picture 9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 close up of a sign&#10;&#10;Description automatically generated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78720" behindDoc="0" locked="0" layoutInCell="1" allowOverlap="1" wp14:anchorId="3120C613" wp14:editId="5B749DFA">
          <wp:simplePos x="0" y="0"/>
          <wp:positionH relativeFrom="column">
            <wp:posOffset>2037715</wp:posOffset>
          </wp:positionH>
          <wp:positionV relativeFrom="paragraph">
            <wp:posOffset>-125730</wp:posOffset>
          </wp:positionV>
          <wp:extent cx="820420" cy="452120"/>
          <wp:effectExtent l="0" t="0" r="0" b="508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07-23 at 11.17.29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4AE58525" wp14:editId="7D5B33D3">
          <wp:simplePos x="0" y="0"/>
          <wp:positionH relativeFrom="column">
            <wp:posOffset>1238250</wp:posOffset>
          </wp:positionH>
          <wp:positionV relativeFrom="paragraph">
            <wp:posOffset>-40005</wp:posOffset>
          </wp:positionV>
          <wp:extent cx="855980" cy="389255"/>
          <wp:effectExtent l="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L_PH_rgb_pos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E8B">
      <w:rPr>
        <w:noProof/>
        <w:lang w:val="pt-BR" w:eastAsia="pt-BR"/>
      </w:rPr>
      <w:drawing>
        <wp:anchor distT="0" distB="0" distL="114300" distR="114300" simplePos="0" relativeHeight="251671552" behindDoc="0" locked="0" layoutInCell="1" allowOverlap="1" wp14:anchorId="4C3278D4" wp14:editId="4D757FA6">
          <wp:simplePos x="0" y="0"/>
          <wp:positionH relativeFrom="column">
            <wp:posOffset>561975</wp:posOffset>
          </wp:positionH>
          <wp:positionV relativeFrom="paragraph">
            <wp:posOffset>-125730</wp:posOffset>
          </wp:positionV>
          <wp:extent cx="711835" cy="471170"/>
          <wp:effectExtent l="0" t="0" r="0" b="0"/>
          <wp:wrapSquare wrapText="bothSides"/>
          <wp:docPr id="47" name="Imagem 198" descr="Resultado de imagem para associação beneficente sir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8" descr="Resultado de imagem para associação beneficente siria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BF0" w:rsidRPr="00953E8B"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3FC64122" wp14:editId="297789A0">
          <wp:simplePos x="0" y="0"/>
          <wp:positionH relativeFrom="column">
            <wp:posOffset>-409575</wp:posOffset>
          </wp:positionH>
          <wp:positionV relativeFrom="paragraph">
            <wp:posOffset>-116205</wp:posOffset>
          </wp:positionV>
          <wp:extent cx="921385" cy="404495"/>
          <wp:effectExtent l="0" t="0" r="0" b="0"/>
          <wp:wrapSquare wrapText="bothSides"/>
          <wp:docPr id="45" name="image3.png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close up of a logo&#10;&#10;Description automatically generated"/>
                  <pic:cNvPicPr>
                    <a:picLocks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E8B" w:rsidRPr="00953E8B"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6FB11435" wp14:editId="0C7C5081">
          <wp:simplePos x="0" y="0"/>
          <wp:positionH relativeFrom="column">
            <wp:posOffset>9711690</wp:posOffset>
          </wp:positionH>
          <wp:positionV relativeFrom="paragraph">
            <wp:posOffset>169545</wp:posOffset>
          </wp:positionV>
          <wp:extent cx="1224207" cy="440136"/>
          <wp:effectExtent l="0" t="0" r="0" b="4445"/>
          <wp:wrapNone/>
          <wp:docPr id="12" name="Imagem 199" descr="Descrição: Descrição: logo">
            <a:extLst xmlns:a="http://schemas.openxmlformats.org/drawingml/2006/main">
              <a:ext uri="{FF2B5EF4-FFF2-40B4-BE49-F238E27FC236}">
                <a16:creationId xmlns:a16="http://schemas.microsoft.com/office/drawing/2014/main" id="{6E1FC555-C9EC-2149-846A-D3D1ABD20D0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99" descr="Descrição: Descrição: logo">
                    <a:extLst>
                      <a:ext uri="{FF2B5EF4-FFF2-40B4-BE49-F238E27FC236}">
                        <a16:creationId xmlns:a16="http://schemas.microsoft.com/office/drawing/2014/main" id="{6E1FC555-C9EC-2149-846A-D3D1ABD20D0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07" cy="440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BB0">
      <w:t xml:space="preserve">                                                                                                                                        </w:t>
    </w:r>
  </w:p>
  <w:p w14:paraId="0756533B" w14:textId="5667B356" w:rsidR="00FB4FA0" w:rsidRDefault="00FB4FA0">
    <w:pPr>
      <w:pStyle w:val="Cabealho"/>
    </w:pPr>
  </w:p>
  <w:p w14:paraId="0FF1A4CB" w14:textId="77777777" w:rsidR="00FB4FA0" w:rsidRPr="00B82BB0" w:rsidRDefault="00FB4F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26900"/>
    <w:multiLevelType w:val="hybridMultilevel"/>
    <w:tmpl w:val="77F6B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7D74"/>
    <w:multiLevelType w:val="hybridMultilevel"/>
    <w:tmpl w:val="A3825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3539B"/>
    <w:multiLevelType w:val="hybridMultilevel"/>
    <w:tmpl w:val="4E5C9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21289"/>
    <w:multiLevelType w:val="hybridMultilevel"/>
    <w:tmpl w:val="6806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98"/>
    <w:rsid w:val="00073DD6"/>
    <w:rsid w:val="000D3771"/>
    <w:rsid w:val="0010203E"/>
    <w:rsid w:val="001174A2"/>
    <w:rsid w:val="00141D31"/>
    <w:rsid w:val="00161704"/>
    <w:rsid w:val="00174491"/>
    <w:rsid w:val="001A2762"/>
    <w:rsid w:val="001B464A"/>
    <w:rsid w:val="001D5844"/>
    <w:rsid w:val="00222354"/>
    <w:rsid w:val="00232898"/>
    <w:rsid w:val="002330E6"/>
    <w:rsid w:val="00284673"/>
    <w:rsid w:val="0039533A"/>
    <w:rsid w:val="003C2EBA"/>
    <w:rsid w:val="003D0FEB"/>
    <w:rsid w:val="003F4A46"/>
    <w:rsid w:val="003F6411"/>
    <w:rsid w:val="0045319E"/>
    <w:rsid w:val="00474B29"/>
    <w:rsid w:val="004871EE"/>
    <w:rsid w:val="004D02B5"/>
    <w:rsid w:val="004D07F6"/>
    <w:rsid w:val="004F18F9"/>
    <w:rsid w:val="004F7C0A"/>
    <w:rsid w:val="005921A9"/>
    <w:rsid w:val="005C6336"/>
    <w:rsid w:val="005F0F89"/>
    <w:rsid w:val="006044F7"/>
    <w:rsid w:val="0060635E"/>
    <w:rsid w:val="006B3CA4"/>
    <w:rsid w:val="006B6F6D"/>
    <w:rsid w:val="00714833"/>
    <w:rsid w:val="007320E9"/>
    <w:rsid w:val="007672A1"/>
    <w:rsid w:val="00801A81"/>
    <w:rsid w:val="008058F3"/>
    <w:rsid w:val="00865DD6"/>
    <w:rsid w:val="00915E9D"/>
    <w:rsid w:val="00920228"/>
    <w:rsid w:val="00940CAF"/>
    <w:rsid w:val="00953E8B"/>
    <w:rsid w:val="00967C18"/>
    <w:rsid w:val="00980B1F"/>
    <w:rsid w:val="009A0D61"/>
    <w:rsid w:val="009C74C8"/>
    <w:rsid w:val="009E0950"/>
    <w:rsid w:val="00A04F8D"/>
    <w:rsid w:val="00A60B33"/>
    <w:rsid w:val="00B71286"/>
    <w:rsid w:val="00B82BB0"/>
    <w:rsid w:val="00BE7414"/>
    <w:rsid w:val="00C0797F"/>
    <w:rsid w:val="00C13E13"/>
    <w:rsid w:val="00C33AFE"/>
    <w:rsid w:val="00C54A4C"/>
    <w:rsid w:val="00C61BA7"/>
    <w:rsid w:val="00C634B1"/>
    <w:rsid w:val="00CB01FE"/>
    <w:rsid w:val="00CC6B75"/>
    <w:rsid w:val="00CE0613"/>
    <w:rsid w:val="00CE1B63"/>
    <w:rsid w:val="00CF6CD8"/>
    <w:rsid w:val="00D420BA"/>
    <w:rsid w:val="00D84E6E"/>
    <w:rsid w:val="00DA455E"/>
    <w:rsid w:val="00E23B0C"/>
    <w:rsid w:val="00E53C8F"/>
    <w:rsid w:val="00E92BF0"/>
    <w:rsid w:val="00ED4E85"/>
    <w:rsid w:val="00F664BA"/>
    <w:rsid w:val="00FA236A"/>
    <w:rsid w:val="00FB4FA0"/>
    <w:rsid w:val="00FE0E7E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C7A21"/>
  <w15:docId w15:val="{7ECD1CCE-77ED-F34A-B64E-C216A53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953E8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3E8B"/>
  </w:style>
  <w:style w:type="paragraph" w:styleId="Rodap">
    <w:name w:val="footer"/>
    <w:basedOn w:val="Normal"/>
    <w:link w:val="RodapChar"/>
    <w:uiPriority w:val="99"/>
    <w:unhideWhenUsed/>
    <w:rsid w:val="00953E8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53E8B"/>
  </w:style>
  <w:style w:type="character" w:styleId="Refdecomentrio">
    <w:name w:val="annotation reference"/>
    <w:basedOn w:val="Fontepargpadro"/>
    <w:uiPriority w:val="99"/>
    <w:semiHidden/>
    <w:unhideWhenUsed/>
    <w:rsid w:val="004D02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02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02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2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02B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2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2B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84673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pt-BR"/>
    </w:rPr>
  </w:style>
  <w:style w:type="character" w:styleId="Hyperlink">
    <w:name w:val="Hyperlink"/>
    <w:basedOn w:val="Fontepargpadro"/>
    <w:uiPriority w:val="99"/>
    <w:unhideWhenUsed/>
    <w:rsid w:val="00940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15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ales@llorenteycuenca.com" TargetMode="External"/><Relationship Id="rId13" Type="http://schemas.openxmlformats.org/officeDocument/2006/relationships/hyperlink" Target="mailto:mariateresa.moraes@conteudonet.com" TargetMode="External"/><Relationship Id="rId18" Type="http://schemas.openxmlformats.org/officeDocument/2006/relationships/hyperlink" Target="mailto:tvarella@jeffreygroup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mprensa@hsl.org.br" TargetMode="External"/><Relationship Id="rId7" Type="http://schemas.openxmlformats.org/officeDocument/2006/relationships/hyperlink" Target="mailto:drodrigues@llorenteycuenca.com" TargetMode="External"/><Relationship Id="rId12" Type="http://schemas.openxmlformats.org/officeDocument/2006/relationships/hyperlink" Target="mailto:claudio.sa@conteudonet.com" TargetMode="External"/><Relationship Id="rId17" Type="http://schemas.openxmlformats.org/officeDocument/2006/relationships/hyperlink" Target="mailto:cbomfim@jeffreygroup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mprensa@einstein.br" TargetMode="External"/><Relationship Id="rId20" Type="http://schemas.openxmlformats.org/officeDocument/2006/relationships/hyperlink" Target="mailto:melina@criterio.com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prensa@bp.org.b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luna.aghata@maquinacohnwolfe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paker@llorenteycuenca.com" TargetMode="External"/><Relationship Id="rId19" Type="http://schemas.openxmlformats.org/officeDocument/2006/relationships/hyperlink" Target="mailto:tcamargo@jeffrey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osta@llorenteycuenca.com" TargetMode="External"/><Relationship Id="rId14" Type="http://schemas.openxmlformats.org/officeDocument/2006/relationships/hyperlink" Target="mailto:ivan.verona@maquinacohnwolfe.com" TargetMode="External"/><Relationship Id="rId22" Type="http://schemas.openxmlformats.org/officeDocument/2006/relationships/hyperlink" Target="mailto:max.goncalves@fsb.com.br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8128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HCor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Biasi Cavalcanti</dc:creator>
  <cp:lastModifiedBy>Thais Camargo</cp:lastModifiedBy>
  <cp:revision>2</cp:revision>
  <dcterms:created xsi:type="dcterms:W3CDTF">2020-07-23T18:16:00Z</dcterms:created>
  <dcterms:modified xsi:type="dcterms:W3CDTF">2020-07-23T18:16:00Z</dcterms:modified>
</cp:coreProperties>
</file>